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w:t>
      </w:r>
      <w:r>
        <w:rPr>
          <w:shd w:fill="FFFF00" w:val="clear"/>
        </w:rPr>
        <w:t>OTE to student.  Be sure to put the words "file closing" somewhere in the subject line of the email (delete this note after reading)</w:t>
      </w:r>
    </w:p>
    <w:p>
      <w:pPr>
        <w:pStyle w:val="Normal"/>
        <w:rPr/>
      </w:pPr>
      <w:r>
        <w:rPr>
          <w:shd w:fill="FFFF00" w:val="clear"/>
        </w:rPr>
        <w:t>------------------------------</w:t>
      </w:r>
      <w:r>
        <w:rPr>
          <w:shd w:fill="auto" w:val="clear"/>
        </w:rPr>
        <w:t>-</w:t>
      </w:r>
    </w:p>
    <w:p>
      <w:pPr>
        <w:pStyle w:val="Normal"/>
        <w:rPr>
          <w:highlight w:val="none"/>
          <w:shd w:fill="auto" w:val="clear"/>
        </w:rPr>
      </w:pPr>
      <w:r>
        <w:rPr>
          <w:shd w:fill="auto" w:val="clear"/>
        </w:rPr>
      </w:r>
    </w:p>
    <w:p>
      <w:pPr>
        <w:pStyle w:val="Normal"/>
        <w:rPr/>
      </w:pPr>
      <w:r>
        <w:rPr/>
      </w:r>
    </w:p>
    <w:p>
      <w:pPr>
        <w:pStyle w:val="Normal"/>
        <w:rPr/>
      </w:pPr>
      <w:r>
        <w:rPr/>
        <w:t>Greetings</w:t>
      </w:r>
    </w:p>
    <w:p>
      <w:pPr>
        <w:pStyle w:val="Normal"/>
        <w:rPr/>
      </w:pPr>
      <w:r>
        <w:rPr/>
      </w:r>
    </w:p>
    <w:p>
      <w:pPr>
        <w:pStyle w:val="Normal"/>
        <w:rPr/>
      </w:pPr>
      <w:r>
        <w:rPr/>
        <w:t>We previously opened a file to assist you with the creation of a new non-profit corporation and applying for an IRS 501(c)(3) exemption.</w:t>
      </w:r>
    </w:p>
    <w:p>
      <w:pPr>
        <w:pStyle w:val="Normal"/>
        <w:rPr/>
      </w:pPr>
      <w:r>
        <w:rPr/>
      </w:r>
    </w:p>
    <w:p>
      <w:pPr>
        <w:pStyle w:val="Normal"/>
        <w:rPr/>
      </w:pPr>
      <w:r>
        <w:rPr/>
        <w:t>We have completed our work on those matters. For that reason, we are closing the file.</w:t>
      </w:r>
    </w:p>
    <w:p>
      <w:pPr>
        <w:pStyle w:val="Normal"/>
        <w:rPr/>
      </w:pPr>
      <w:r>
        <w:rPr/>
      </w:r>
    </w:p>
    <w:p>
      <w:pPr>
        <w:pStyle w:val="Normal"/>
        <w:rPr/>
      </w:pPr>
      <w:r>
        <w:rPr/>
        <w:t xml:space="preserve">We prepared and delivered to you all documents necessary to organize and create the new non-profit. We also gave you instructions on how to file the Articles of Incorporation with the Florida Department of State and how to use the other documents to complete the new entity’s internal organization. We then provided you with easy to understand instructions on how to apply for a 501(c)3 exemption using the simplified IRS Form 1023-EZ. </w:t>
      </w:r>
    </w:p>
    <w:p>
      <w:pPr>
        <w:pStyle w:val="Normal"/>
        <w:rPr/>
      </w:pPr>
      <w:r>
        <w:rPr/>
      </w:r>
    </w:p>
    <w:p>
      <w:pPr>
        <w:pStyle w:val="Normal"/>
        <w:rPr/>
      </w:pPr>
      <w:r>
        <w:rPr/>
        <w:t>If we can be of further assistance on this or any matter, please let us know.</w:t>
      </w:r>
    </w:p>
    <w:p>
      <w:pPr>
        <w:pStyle w:val="Normal"/>
        <w:rPr/>
      </w:pPr>
      <w:r>
        <w:rPr/>
      </w:r>
    </w:p>
    <w:p>
      <w:pPr>
        <w:pStyle w:val="Normal"/>
        <w:rPr/>
      </w:pPr>
      <w:r>
        <w:rPr/>
        <w:t>BELOW ARE GENERAL NONPROFIT INFORMATION LINKS</w:t>
      </w:r>
    </w:p>
    <w:p>
      <w:pPr>
        <w:pStyle w:val="Normal"/>
        <w:rPr/>
      </w:pPr>
      <w:r>
        <w:rPr/>
        <w:t>-------------------------------</w:t>
      </w:r>
    </w:p>
    <w:p>
      <w:pPr>
        <w:pStyle w:val="Normal"/>
        <w:rPr/>
      </w:pPr>
      <w:r>
        <w:rPr/>
      </w:r>
    </w:p>
    <w:p>
      <w:pPr>
        <w:pStyle w:val="Normal"/>
        <w:rPr/>
      </w:pPr>
      <w:r>
        <w:rPr/>
        <w:t>general information about nonprofits.</w:t>
      </w:r>
    </w:p>
    <w:p>
      <w:pPr>
        <w:pStyle w:val="Normal"/>
        <w:rPr/>
      </w:pPr>
      <w:r>
        <w:rPr/>
        <w:t>https://fiuclinic.org/client_education/nonprofit-primer.html</w:t>
      </w:r>
    </w:p>
    <w:p>
      <w:pPr>
        <w:pStyle w:val="Normal"/>
        <w:rPr/>
      </w:pPr>
      <w:r>
        <w:rPr/>
      </w:r>
    </w:p>
    <w:p>
      <w:pPr>
        <w:pStyle w:val="Normal"/>
        <w:rPr/>
      </w:pPr>
      <w:r>
        <w:rPr/>
        <w:t>general information about 501(c)(3) exemptions.</w:t>
      </w:r>
    </w:p>
    <w:p>
      <w:pPr>
        <w:pStyle w:val="Normal"/>
        <w:rPr/>
      </w:pPr>
      <w:r>
        <w:rPr/>
        <w:t>https://fiuclinic.org/client_education/501-overview.html</w:t>
      </w:r>
    </w:p>
    <w:p>
      <w:pPr>
        <w:pStyle w:val="Normal"/>
        <w:rPr/>
      </w:pPr>
      <w:r>
        <w:rPr/>
      </w:r>
    </w:p>
    <w:p>
      <w:pPr>
        <w:pStyle w:val="Normal"/>
        <w:rPr/>
      </w:pPr>
      <w:r>
        <w:rPr/>
        <w:t>IRS - "Charities and Nonprofits Page"</w:t>
      </w:r>
    </w:p>
    <w:p>
      <w:pPr>
        <w:pStyle w:val="Normal"/>
        <w:rPr/>
      </w:pPr>
      <w:r>
        <w:rPr/>
        <w:t>https://www.irs.gov/charities-and-nonprofits</w:t>
      </w:r>
    </w:p>
    <w:p>
      <w:pPr>
        <w:pStyle w:val="Normal"/>
        <w:rPr/>
      </w:pPr>
      <w:r>
        <w:rPr/>
      </w:r>
    </w:p>
    <w:p>
      <w:pPr>
        <w:pStyle w:val="Normal"/>
        <w:rPr/>
      </w:pPr>
      <w:r>
        <w:rPr/>
        <w:t>Seven Reasons Nonprofits Fail</w:t>
      </w:r>
    </w:p>
    <w:p>
      <w:pPr>
        <w:pStyle w:val="Normal"/>
        <w:rPr/>
      </w:pPr>
      <w:r>
        <w:rPr/>
        <w:t>https://fiuclinic.org/client_education/nonprofit-failure.html</w:t>
      </w:r>
    </w:p>
    <w:p>
      <w:pPr>
        <w:pStyle w:val="Normal"/>
        <w:rPr/>
      </w:pPr>
      <w:r>
        <w:rPr/>
      </w:r>
    </w:p>
    <w:p>
      <w:pPr>
        <w:pStyle w:val="Normal"/>
        <w:rPr/>
      </w:pPr>
      <w:r>
        <w:rPr/>
        <w:t>Checklist of Legal Issues for Non-Profit Organizations</w:t>
      </w:r>
    </w:p>
    <w:p>
      <w:pPr>
        <w:pStyle w:val="Normal"/>
        <w:rPr/>
      </w:pPr>
      <w:r>
        <w:rPr/>
        <w:t>https://fiuclinic.org/client_education/legalaudit.html</w:t>
      </w:r>
    </w:p>
    <w:p>
      <w:pPr>
        <w:pStyle w:val="Normal"/>
        <w:rPr/>
      </w:pPr>
      <w:r>
        <w:rPr/>
      </w:r>
    </w:p>
    <w:p>
      <w:pPr>
        <w:pStyle w:val="Normal"/>
        <w:rPr/>
      </w:pPr>
      <w:r>
        <w:rPr/>
        <w:t>The Duties And Responsibilities Of Directors of Not-For-Profit Corporations (from the Florida Bar)</w:t>
      </w:r>
    </w:p>
    <w:p>
      <w:pPr>
        <w:pStyle w:val="Normal"/>
        <w:rPr/>
      </w:pPr>
      <w:r>
        <w:rPr/>
        <w:t>https://www.floridabar.org/the-florida-bar-journal/to-protect-and-to-serve-the-duties-and-responsibilities-of-directors-of-florida-not-for-profit-corporations/</w:t>
      </w:r>
    </w:p>
    <w:p>
      <w:pPr>
        <w:pStyle w:val="Normal"/>
        <w:rPr/>
      </w:pPr>
      <w:r>
        <w:rPr/>
      </w:r>
    </w:p>
    <w:p>
      <w:pPr>
        <w:pStyle w:val="Normal"/>
        <w:rPr/>
      </w:pPr>
      <w:r>
        <w:rPr/>
        <w:t>Charitable Solicitation Registration: Under Florida law, most charitable organizations must register with the Florida Department of Agriculture and Consumer Services (FDACS) before soliciting donations. Here is a link to the registration page</w:t>
      </w:r>
    </w:p>
    <w:p>
      <w:pPr>
        <w:pStyle w:val="Normal"/>
        <w:rPr/>
      </w:pPr>
      <w:r>
        <w:rPr/>
        <w:t>https://csapp.fdacs.gov/csrep/</w:t>
      </w:r>
    </w:p>
    <w:p>
      <w:pPr>
        <w:pStyle w:val="Normal"/>
        <w:rPr/>
      </w:pPr>
      <w:r>
        <w:rPr/>
      </w:r>
    </w:p>
    <w:p>
      <w:pPr>
        <w:pStyle w:val="Normal"/>
        <w:rPr/>
      </w:pPr>
      <w:r>
        <w:rPr/>
      </w:r>
    </w:p>
    <w:p>
      <w:pPr>
        <w:pStyle w:val="Normal"/>
        <w:rPr/>
      </w:pPr>
      <w:r>
        <w:rPr/>
        <w:t>Corporate Transparency Act.  Virtually every legal entity in the United States (with a handful of exceptions) MUST disclose information about it's owners, officers, and controlling persons.  The disclosures must be made to a federal agency known as the Financial Crimes Enforcement Network pursuant to the recently enacted Corporate Transparency Act.  Filing the report is freee, it's easy and it can be done on line.  Here is the link</w:t>
      </w:r>
    </w:p>
    <w:p>
      <w:pPr>
        <w:pStyle w:val="Normal"/>
        <w:rPr/>
      </w:pPr>
      <w:r>
        <w:rPr/>
        <w:t>https://boiefiling.fincen.gov/</w:t>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Template>
  <TotalTime>26</TotalTime>
  <Application>LibreOffice/7.4.7.2$Linux_X86_64 LibreOffice_project/40$Build-2</Application>
  <AppVersion>15.0000</AppVersion>
  <Pages>2</Pages>
  <Words>307</Words>
  <Characters>2169</Characters>
  <CharactersWithSpaces>2457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2020-07-29T17:17:53Z</dcterms:created>
  <dc:creator/>
  <dc:description/>
  <dc:language>en-US</dc:language>
  <cp:lastModifiedBy>John Little</cp:lastModifiedBy>
  <dcterms:modified xsi:type="dcterms:W3CDTF">2024-11-27T09:33:09Z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