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Greetings</w:t>
      </w:r>
    </w:p>
    <w:p>
      <w:pPr>
        <w:pStyle w:val="Normal"/>
        <w:rPr/>
      </w:pPr>
      <w:r>
        <w:rPr/>
      </w:r>
    </w:p>
    <w:p>
      <w:pPr>
        <w:pStyle w:val="Normal"/>
        <w:rPr/>
      </w:pPr>
      <w:r>
        <w:rPr/>
        <w:t>You have indicated that you are interested in creating a new corporation, with an eye to issuing its stock to service providers and investors in the near future. Because you are still in the early stages of planning for this, we thought that it would be helpful to provide you with some guidance on these issues, including how to comply with securities laws. In order to assist you, we will be sending you a series of emails during the coming weeks in which we explain each step in this process.</w:t>
      </w:r>
    </w:p>
    <w:p>
      <w:pPr>
        <w:pStyle w:val="Normal"/>
        <w:rPr/>
      </w:pPr>
      <w:r>
        <w:rPr/>
      </w:r>
    </w:p>
    <w:p>
      <w:pPr>
        <w:pStyle w:val="Normal"/>
        <w:rPr/>
      </w:pPr>
      <w:r>
        <w:rPr/>
        <w:t xml:space="preserve">The topic of this first email is to explain how stock can come to be authorized by a corporation so that it can later be issued.  </w:t>
      </w:r>
    </w:p>
    <w:p>
      <w:pPr>
        <w:pStyle w:val="Normal"/>
        <w:rPr/>
      </w:pPr>
      <w:r>
        <w:rPr/>
      </w:r>
    </w:p>
    <w:p>
      <w:pPr>
        <w:pStyle w:val="Normal"/>
        <w:rPr/>
      </w:pPr>
      <w:r>
        <w:rPr/>
        <w:t xml:space="preserve">The obvious first step is that the corporation must be created. As you already know, this requires filing the Articles of Incorporation with the appropriate state office, normally the Secretary of State. For Florida, this means filing online on Sunbiz.org, or mailing the necessary documents to the Division of Corporations. Once the Articles are filed, the corporation comes into existence. </w:t>
      </w:r>
    </w:p>
    <w:p>
      <w:pPr>
        <w:pStyle w:val="Normal"/>
        <w:rPr/>
      </w:pPr>
      <w:r>
        <w:rPr/>
      </w:r>
    </w:p>
    <w:p>
      <w:pPr>
        <w:pStyle w:val="Normal"/>
        <w:rPr/>
      </w:pPr>
      <w:r>
        <w:rPr/>
        <w:t xml:space="preserve">However, in order to be able to issue stock, that stock must first be authorized in the corporation's articles of incorporation. While filing online is often the most convenient option in Florida, the form that Sunbiz automatically uses for Articles of Incorporation does not give the incorporator the option of authorizing different classes of stock or otherwise describing the characteristics of that stock. Therefore, you would need to have the Articles of Incorporation prepared by paper, and they would need to be mailed in. Other states may have similar requirements. </w:t>
      </w:r>
    </w:p>
    <w:p>
      <w:pPr>
        <w:pStyle w:val="Normal"/>
        <w:rPr/>
      </w:pPr>
      <w:r>
        <w:rPr/>
      </w:r>
    </w:p>
    <w:p>
      <w:pPr>
        <w:pStyle w:val="Normal"/>
        <w:rPr/>
      </w:pPr>
      <w:r>
        <w:rPr/>
        <w:t xml:space="preserve">Before drafting the Articles of Incorporation to authorize the stock, you should think about what kind of stock you will want your company to have. Although Articles of Incorporation can be amended once filed, it would be ideal to start with Articles that already authorize the different classes of stock that you plan on issuing. Characteristics to consider include voting rights, rights to distributions, and rights to company capital. You might have heard of different kinds of stock designations, such as Class A stock, Class B stock, common shares, or preferred shares. Although these are common ways to refer to stock, the reality is that each corporation can define its shares in any way that it prefers, and there is much room for creativity.  Whereas one company's preferred stock may confer 10 votes per share, another company's preferred stock may confer 100. It is up to you to decide on the structure. For a more detailed discussion of different ways to define stock, please visit the link below: </w:t>
      </w:r>
    </w:p>
    <w:p>
      <w:pPr>
        <w:pStyle w:val="Normal"/>
        <w:rPr/>
      </w:pPr>
      <w:r>
        <w:rPr/>
      </w:r>
    </w:p>
    <w:p>
      <w:pPr>
        <w:pStyle w:val="Normal"/>
        <w:rPr/>
      </w:pPr>
      <w:r>
        <w:rPr/>
        <w:t>https://smartasset.com/financial-advisor/class-a-shares</w:t>
      </w:r>
    </w:p>
    <w:p>
      <w:pPr>
        <w:pStyle w:val="Normal"/>
        <w:rPr/>
      </w:pPr>
      <w:r>
        <w:rPr/>
      </w:r>
    </w:p>
    <w:p>
      <w:pPr>
        <w:pStyle w:val="Normal"/>
        <w:rPr/>
      </w:pPr>
      <w:r>
        <w:rPr/>
        <w:t xml:space="preserve">Next, it is important to understand the difference between authorized shares and shares that are outstanding or issued. Authorized shares are the maximum amount of shares that the company is allowed to issue, and this is the amount that will be laid out in the Articles of Incorporation. Outstanding shares are the amount of shares that have actually been issued to shareholders. A company does not have to issue all of its shares. For example, the Articles may authorize a total number of 1000 shares. If the company issues only 50 shares, and you are the sole shareholder, then you would own 100% of the company because you would own 100% of the 50 outstanding shares. However, if the company issues 50 additional shares to a second shareholder, then you would own 50% of the 100 outstanding shares, and thus 50% of the company. For an article on this issue, please visit the link below: </w:t>
      </w:r>
    </w:p>
    <w:p>
      <w:pPr>
        <w:pStyle w:val="Normal"/>
        <w:rPr/>
      </w:pPr>
      <w:r>
        <w:rPr/>
      </w:r>
    </w:p>
    <w:p>
      <w:pPr>
        <w:pStyle w:val="Normal"/>
        <w:rPr/>
      </w:pPr>
      <w:r>
        <w:rPr/>
        <w:t>https://www.investopedia.com/ask/answers/011315/what-difference-between-authorized-shares-and-outstanding-shares.asp</w:t>
      </w:r>
    </w:p>
    <w:p>
      <w:pPr>
        <w:pStyle w:val="Normal"/>
        <w:rPr/>
      </w:pPr>
      <w:r>
        <w:rPr/>
      </w:r>
    </w:p>
    <w:p>
      <w:pPr>
        <w:pStyle w:val="Normal"/>
        <w:rPr/>
      </w:pPr>
      <w:r>
        <w:rPr/>
        <w:t xml:space="preserve">As you can see, issuing additional shares to new shareholders will dilute the ownership percentage of the original shareholders. This is why it is common to have one class of shares with increased voting rights, to be held by the original shareholders, and another class of shares with little to no voting rights, to be held by investors who seek no active role in the management of the company. </w:t>
      </w:r>
    </w:p>
    <w:p>
      <w:pPr>
        <w:pStyle w:val="Normal"/>
        <w:rPr/>
      </w:pPr>
      <w:r>
        <w:rPr/>
      </w:r>
    </w:p>
    <w:p>
      <w:pPr>
        <w:pStyle w:val="Normal"/>
        <w:rPr/>
      </w:pPr>
      <w:r>
        <w:rPr/>
        <w:t xml:space="preserve">In the next email, we will explain how a corporation issues shares of its authorized stock. For now, you should start thinking about what kind of stock structure you will want your company to have. </w:t>
      </w:r>
    </w:p>
    <w:p>
      <w:pPr>
        <w:pStyle w:val="Normal"/>
        <w:rPr/>
      </w:pPr>
      <w:r>
        <w:rPr/>
      </w:r>
    </w:p>
    <w:p>
      <w:pPr>
        <w:pStyle w:val="Normal"/>
        <w:rPr/>
      </w:pPr>
      <w:r>
        <w:rPr/>
        <w:t>Please do not hesitate to contact me if you have any questions.</w:t>
      </w:r>
    </w:p>
    <w:p>
      <w:pPr>
        <w:pStyle w:val="Normal"/>
        <w:rPr/>
      </w:pPr>
      <w:r>
        <w:rPr/>
      </w:r>
    </w:p>
    <w:p>
      <w:pPr>
        <w:pStyle w:val="Normal"/>
        <w:rPr/>
      </w:pPr>
      <w:r>
        <w:rPr/>
      </w:r>
    </w:p>
    <w:p>
      <w:pPr>
        <w:pStyle w:val="Normal"/>
        <w:rPr/>
      </w:pPr>
      <w:r>
        <w:rPr/>
        <w:t>Sincerely,</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14</TotalTime>
  <Application>LibreOffice/7.3.3.2$Linux_X86_64 LibreOffice_project/30$Build-2</Application>
  <AppVersion>15.0000</AppVersion>
  <Pages>2</Pages>
  <Words>711</Words>
  <Characters>3644</Characters>
  <CharactersWithSpaces>4352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2022-05-08T18:02:53Z</dcterms:created>
  <dc:creator>John Little</dc:creator>
  <dc:description/>
  <dc:language>en-GB</dc:language>
  <cp:lastModifiedBy>John Little</cp:lastModifiedBy>
  <dcterms:modified xsi:type="dcterms:W3CDTF">2022-05-08T18:17:44Z</dcterms:modified>
  <cp:revision>4</cp:revision>
  <dc:subject/>
  <dc:title>john5</dc:title>
</cp:coreProperties>
</file>