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settings.xml" ContentType="application/vnd.openxmlformats-officedocument.wordprocessingml.settings+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b/>
          <w:b/>
          <w:bCs/>
          <w:sz w:val="28"/>
          <w:szCs w:val="28"/>
        </w:rPr>
      </w:pPr>
      <w:r>
        <w:rPr>
          <w:b/>
          <w:bCs/>
          <w:sz w:val="28"/>
          <w:szCs w:val="28"/>
        </w:rPr>
        <w:t>&lt;**NameOfCorp**&gt;</w:t>
      </w:r>
    </w:p>
    <w:p>
      <w:pPr>
        <w:pStyle w:val="Normal"/>
        <w:jc w:val="center"/>
        <w:rPr/>
      </w:pPr>
      <w:r>
        <w:rPr>
          <w:b/>
          <w:bCs/>
        </w:rPr>
        <w:t>Action By Consent Of Incorporator</w:t>
      </w:r>
    </w:p>
    <w:p>
      <w:pPr>
        <w:pStyle w:val="Normal"/>
        <w:rPr>
          <w:b/>
          <w:b/>
          <w:bCs/>
          <w:sz w:val="36"/>
          <w:szCs w:val="36"/>
        </w:rPr>
      </w:pPr>
      <w:r>
        <w:rPr/>
      </w:r>
    </w:p>
    <w:p>
      <w:pPr>
        <w:pStyle w:val="Normal"/>
        <w:rPr>
          <w:b/>
          <w:b/>
          <w:bCs/>
          <w:sz w:val="36"/>
          <w:szCs w:val="36"/>
        </w:rPr>
      </w:pPr>
      <w:r>
        <w:rPr/>
        <w:t>&lt;&lt;**insert incorporator's name**&gt;&gt; is the sole Incorporator of &lt;**NameOfCorp**&gt; (the "Corporation").</w:t>
      </w:r>
    </w:p>
    <w:p>
      <w:pPr>
        <w:pStyle w:val="Normal"/>
        <w:rPr>
          <w:b/>
          <w:b/>
          <w:bCs/>
          <w:sz w:val="36"/>
          <w:szCs w:val="36"/>
        </w:rPr>
      </w:pPr>
      <w:r>
        <w:rPr/>
      </w:r>
    </w:p>
    <w:p>
      <w:pPr>
        <w:pStyle w:val="Normal"/>
        <w:rPr>
          <w:b/>
          <w:b/>
          <w:bCs/>
          <w:sz w:val="36"/>
          <w:szCs w:val="36"/>
        </w:rPr>
      </w:pPr>
      <w:r>
        <w:rPr/>
        <w:t>§607.0205, Florida Statutes provides that in cases where there are no initial directors named in the Articles of Incorporation, the incorporators shall hold an organizational meeting for the purpose of electing directors and completing the organization of the Corporation.  The above cited statute also provides that the incorporators can take such action without meeting if the actions are evidenced by a written consents signed by each incorporator.  With the signature below of its agent, the sole incorporator of this Corporation hereby consents to the following actions:</w:t>
      </w:r>
    </w:p>
    <w:p>
      <w:pPr>
        <w:pStyle w:val="Normal"/>
        <w:rPr>
          <w:b/>
          <w:b/>
          <w:bCs/>
          <w:sz w:val="36"/>
          <w:szCs w:val="36"/>
        </w:rPr>
      </w:pPr>
      <w:r>
        <w:rPr/>
      </w:r>
    </w:p>
    <w:p>
      <w:pPr>
        <w:pStyle w:val="Normal"/>
        <w:rPr>
          <w:b/>
          <w:b/>
          <w:bCs/>
          <w:sz w:val="36"/>
          <w:szCs w:val="36"/>
        </w:rPr>
      </w:pPr>
      <w:r>
        <w:rPr/>
      </w:r>
    </w:p>
    <w:p>
      <w:pPr>
        <w:pStyle w:val="Normal"/>
        <w:rPr>
          <w:b/>
          <w:b/>
          <w:bCs/>
        </w:rPr>
      </w:pPr>
      <w:r>
        <w:rPr>
          <w:b/>
          <w:bCs/>
        </w:rPr>
        <w:t>Appointment Of Board Of Directors</w:t>
      </w:r>
    </w:p>
    <w:p>
      <w:pPr>
        <w:pStyle w:val="Normal"/>
        <w:rPr>
          <w:b/>
          <w:b/>
          <w:bCs/>
          <w:sz w:val="36"/>
          <w:szCs w:val="36"/>
        </w:rPr>
      </w:pPr>
      <w:r>
        <w:rPr/>
      </w:r>
    </w:p>
    <w:p>
      <w:pPr>
        <w:pStyle w:val="Normal"/>
        <w:rPr>
          <w:b/>
          <w:b/>
          <w:bCs/>
          <w:sz w:val="36"/>
          <w:szCs w:val="36"/>
        </w:rPr>
      </w:pPr>
      <w:r>
        <w:rPr/>
        <w:t>The incorporator hereby appoints the members of the initial board of directors to serve until the first meeting of the shareholders (as provided for in these bylaws). The persons chosen as the initial board of directors are as follows:</w:t>
      </w:r>
    </w:p>
    <w:p>
      <w:pPr>
        <w:pStyle w:val="Normal"/>
        <w:rPr>
          <w:b/>
          <w:b/>
          <w:bCs/>
          <w:sz w:val="36"/>
          <w:szCs w:val="36"/>
        </w:rPr>
      </w:pPr>
      <w:r>
        <w:rPr/>
      </w:r>
    </w:p>
    <w:p>
      <w:pPr>
        <w:pStyle w:val="Normal"/>
        <w:rPr>
          <w:b/>
          <w:b/>
          <w:bCs/>
          <w:sz w:val="36"/>
          <w:szCs w:val="36"/>
        </w:rPr>
      </w:pPr>
      <w:r>
        <w:rPr/>
        <w:tab/>
        <w:t xml:space="preserve">&lt;&lt;**enter name of </w:t>
      </w:r>
      <w:r>
        <w:rPr/>
        <w:t>single d</w:t>
      </w:r>
      <w:r>
        <w:rPr/>
        <w:t>irector being appointed**&gt;&gt;</w:t>
      </w:r>
    </w:p>
    <w:p>
      <w:pPr>
        <w:pStyle w:val="Normal"/>
        <w:rPr/>
      </w:pPr>
      <w:r>
        <w:rPr/>
      </w:r>
    </w:p>
    <w:p>
      <w:pPr>
        <w:pStyle w:val="Normal"/>
        <w:rPr/>
      </w:pPr>
      <w:r>
        <w:rPr/>
      </w:r>
    </w:p>
    <w:p>
      <w:pPr>
        <w:pStyle w:val="Normal"/>
        <w:rPr>
          <w:b/>
          <w:b/>
          <w:bCs/>
        </w:rPr>
      </w:pPr>
      <w:r>
        <w:rPr>
          <w:b/>
          <w:bCs/>
        </w:rPr>
        <w:t>Adoption Of Share Specimen</w:t>
      </w:r>
    </w:p>
    <w:p>
      <w:pPr>
        <w:pStyle w:val="Normal"/>
        <w:rPr/>
      </w:pPr>
      <w:r>
        <w:rPr/>
      </w:r>
    </w:p>
    <w:p>
      <w:pPr>
        <w:pStyle w:val="Normal"/>
        <w:rPr/>
      </w:pPr>
      <w:r>
        <w:rPr/>
        <w:t xml:space="preserve">Upon a properly made and seconded motion, it was unanimously Resolved adopt the form of share certificate for fully paid and non-assessable shares of stock of this Corporation which is attached hereto and labeled "Exhibit A".  This form shall be used by the corporation to evidence transactions in its stock. </w:t>
      </w:r>
    </w:p>
    <w:p>
      <w:pPr>
        <w:pStyle w:val="Normal"/>
        <w:rPr/>
      </w:pPr>
      <w:r>
        <w:rPr/>
      </w:r>
    </w:p>
    <w:p>
      <w:pPr>
        <w:pStyle w:val="Normal"/>
        <w:rPr/>
      </w:pPr>
      <w:r>
        <w:rPr/>
      </w:r>
    </w:p>
    <w:p>
      <w:pPr>
        <w:pStyle w:val="Normal"/>
        <w:rPr>
          <w:b/>
          <w:b/>
          <w:bCs/>
        </w:rPr>
      </w:pPr>
      <w:r>
        <w:rPr>
          <w:b/>
          <w:bCs/>
        </w:rPr>
        <w:t>Adoption Of Bylaws</w:t>
      </w:r>
    </w:p>
    <w:p>
      <w:pPr>
        <w:pStyle w:val="Normal"/>
        <w:rPr/>
      </w:pPr>
      <w:r>
        <w:rPr/>
      </w:r>
    </w:p>
    <w:p>
      <w:pPr>
        <w:pStyle w:val="Normal"/>
        <w:rPr/>
      </w:pPr>
      <w:r>
        <w:rPr/>
        <w:t xml:space="preserve">The document labeled "Exhibit </w:t>
      </w:r>
      <w:r>
        <w:rPr/>
        <w:t>B</w:t>
      </w:r>
      <w:r>
        <w:rPr/>
        <w:t>" which is attached hereto is a true and correct copy of the bylaws that are hereby being adopted.</w:t>
      </w:r>
    </w:p>
    <w:p>
      <w:pPr>
        <w:pStyle w:val="Normal"/>
        <w:rPr/>
      </w:pPr>
      <w:r>
        <w:rPr/>
      </w:r>
    </w:p>
    <w:p>
      <w:pPr>
        <w:pStyle w:val="Normal"/>
        <w:rPr/>
      </w:pPr>
      <w:r>
        <w:rPr/>
      </w:r>
    </w:p>
    <w:p>
      <w:pPr>
        <w:pStyle w:val="Normal"/>
        <w:rPr>
          <w:b/>
          <w:b/>
          <w:bCs/>
        </w:rPr>
      </w:pPr>
      <w:r>
        <w:rPr>
          <w:b/>
          <w:bCs/>
        </w:rPr>
        <w:t>Appointment of Officers</w:t>
      </w:r>
    </w:p>
    <w:p>
      <w:pPr>
        <w:pStyle w:val="Normal"/>
        <w:rPr/>
      </w:pPr>
      <w:r>
        <w:rPr/>
      </w:r>
    </w:p>
    <w:p>
      <w:pPr>
        <w:pStyle w:val="Normal"/>
        <w:rPr/>
      </w:pPr>
      <w:r>
        <w:rPr/>
        <w:t xml:space="preserve">The following persons are appointed as the initial officers of this Corporation and shall serve until replaced in accordance with the Bylaws: </w:t>
      </w:r>
    </w:p>
    <w:p>
      <w:pPr>
        <w:pStyle w:val="Normal"/>
        <w:rPr/>
      </w:pPr>
      <w:r>
        <w:rPr/>
      </w:r>
    </w:p>
    <w:p>
      <w:pPr>
        <w:pStyle w:val="Normal"/>
        <w:ind w:left="709" w:hanging="0"/>
        <w:rPr/>
      </w:pPr>
      <w:r>
        <w:rPr/>
        <w:t>President:</w:t>
        <w:tab/>
        <w:t xml:space="preserve">&lt;&lt;enter name&gt;&gt; </w:t>
        <w:tab/>
        <w:tab/>
      </w:r>
    </w:p>
    <w:p>
      <w:pPr>
        <w:pStyle w:val="Normal"/>
        <w:ind w:left="709" w:hanging="0"/>
        <w:rPr/>
      </w:pPr>
      <w:r>
        <w:rPr/>
        <w:t xml:space="preserve">Secretary:  </w:t>
        <w:tab/>
        <w:t xml:space="preserve">&lt;&lt;enter name&gt;&gt; </w:t>
        <w:tab/>
      </w:r>
    </w:p>
    <w:p>
      <w:pPr>
        <w:pStyle w:val="Normal"/>
        <w:ind w:left="709" w:hanging="0"/>
        <w:rPr/>
      </w:pPr>
      <w:r>
        <w:rPr/>
        <w:t xml:space="preserve">Chairperson: &lt;&lt;enter name&gt;&gt; </w:t>
        <w:tab/>
        <w:tab/>
      </w:r>
    </w:p>
    <w:p>
      <w:pPr>
        <w:pStyle w:val="Normal"/>
        <w:rPr/>
      </w:pPr>
      <w:r>
        <w:rPr/>
      </w:r>
    </w:p>
    <w:p>
      <w:pPr>
        <w:pStyle w:val="Normal"/>
        <w:rPr>
          <w:b/>
          <w:b/>
          <w:bCs/>
        </w:rPr>
      </w:pPr>
      <w:r>
        <w:rPr>
          <w:b/>
          <w:bCs/>
        </w:rPr>
        <w:t>Authorization to Open Bank Account</w:t>
      </w:r>
    </w:p>
    <w:p>
      <w:pPr>
        <w:pStyle w:val="Normal"/>
        <w:rPr>
          <w:b w:val="false"/>
          <w:b w:val="false"/>
          <w:bCs w:val="false"/>
        </w:rPr>
      </w:pPr>
      <w:r>
        <w:rPr>
          <w:b w:val="false"/>
          <w:bCs w:val="false"/>
        </w:rPr>
      </w:r>
    </w:p>
    <w:p>
      <w:pPr>
        <w:pStyle w:val="Normal"/>
        <w:rPr>
          <w:b w:val="false"/>
          <w:b w:val="false"/>
          <w:bCs w:val="false"/>
        </w:rPr>
      </w:pPr>
      <w:r>
        <w:rPr>
          <w:b w:val="false"/>
          <w:bCs w:val="false"/>
        </w:rPr>
        <w:t xml:space="preserve">The President or Chairperson of this Corporation is authorized to open a federally insured account in the name of this Corporation at a bank doing business in South Florida.   </w:t>
      </w:r>
    </w:p>
    <w:p>
      <w:pPr>
        <w:pStyle w:val="Normal"/>
        <w:rPr/>
      </w:pPr>
      <w:r>
        <w:rPr/>
      </w:r>
    </w:p>
    <w:p>
      <w:pPr>
        <w:pStyle w:val="Normal"/>
        <w:rPr>
          <w:b/>
          <w:b/>
          <w:bCs/>
        </w:rPr>
      </w:pPr>
      <w:r>
        <w:rPr/>
      </w:r>
    </w:p>
    <w:p>
      <w:pPr>
        <w:pStyle w:val="Normal"/>
        <w:rPr>
          <w:b/>
          <w:b/>
          <w:bCs/>
        </w:rPr>
      </w:pPr>
      <w:r>
        <w:rPr>
          <w:b/>
          <w:bCs/>
        </w:rPr>
        <w:t>Issuing Shares</w:t>
      </w:r>
    </w:p>
    <w:p>
      <w:pPr>
        <w:pStyle w:val="Normal"/>
        <w:rPr/>
      </w:pPr>
      <w:r>
        <w:rPr/>
      </w:r>
    </w:p>
    <w:p>
      <w:pPr>
        <w:pStyle w:val="Normal"/>
        <w:rPr/>
      </w:pPr>
      <w:r>
        <w:rPr/>
        <w:t>Upon a properly made and seconded motion, it was unanimously Resolved that that corporation is authorized and directed to issue one (1) share of it's stock to &lt;&lt;name&gt;&gt; subject to the following restriction: that all shares shall be issued for investment only, and not for resale.</w:t>
      </w:r>
    </w:p>
    <w:p>
      <w:pPr>
        <w:pStyle w:val="Normal"/>
        <w:rPr/>
      </w:pPr>
      <w:r>
        <w:rPr/>
      </w:r>
    </w:p>
    <w:p>
      <w:pPr>
        <w:pStyle w:val="Normal"/>
        <w:rPr>
          <w:b/>
          <w:b/>
          <w:bCs/>
        </w:rPr>
      </w:pPr>
      <w:r>
        <w:rPr>
          <w:b/>
          <w:bCs/>
        </w:rPr>
        <w:t>Authorization To Open Bank Account</w:t>
      </w:r>
    </w:p>
    <w:p>
      <w:pPr>
        <w:pStyle w:val="Normal"/>
        <w:rPr/>
      </w:pPr>
      <w:r>
        <w:rPr/>
      </w:r>
    </w:p>
    <w:p>
      <w:pPr>
        <w:pStyle w:val="Normal"/>
        <w:rPr/>
      </w:pPr>
      <w:r>
        <w:rPr/>
        <w:t xml:space="preserve">Upon a properly made and seconded motion, it was unanimously Resolved that the President is authorized and directed to open a federally insured account in the name of this Corporation at bank doing business in the county where its principal place of business is located.  The resolutions prescribed and furnished by the said bank for opening said account and for designating the officers to sign drafts and checks thereon are adopted and made a part of this consent.   </w:t>
      </w:r>
    </w:p>
    <w:p>
      <w:pPr>
        <w:pStyle w:val="Normal"/>
        <w:rPr/>
      </w:pPr>
      <w:r>
        <w:rPr/>
      </w:r>
    </w:p>
    <w:p>
      <w:pPr>
        <w:sectPr>
          <w:footerReference w:type="default" r:id="rId2"/>
          <w:type w:val="nextPage"/>
          <w:pgSz w:w="12240" w:h="15840"/>
          <w:pgMar w:left="1440" w:right="1440" w:gutter="0" w:header="0" w:top="1440" w:footer="657" w:bottom="1370"/>
          <w:pgNumType w:fmt="decimal"/>
          <w:formProt w:val="false"/>
          <w:textDirection w:val="lrTb"/>
          <w:docGrid w:type="default" w:linePitch="600" w:charSpace="32768"/>
        </w:sectPr>
        <w:pStyle w:val="Normal"/>
        <w:rPr/>
      </w:pPr>
      <w:r>
        <w:rPr/>
      </w:r>
    </w:p>
    <w:p>
      <w:pPr>
        <w:pStyle w:val="Normal"/>
        <w:rPr/>
      </w:pPr>
      <w:r>
        <w:rPr/>
        <w:t>Exhibit "A" - Share Specimen</w:t>
      </w:r>
    </w:p>
    <w:p>
      <w:pPr>
        <w:pStyle w:val="Normal"/>
        <w:rPr/>
      </w:pPr>
      <w:r>
        <w:rPr/>
      </w:r>
    </w:p>
    <w:p>
      <w:pPr>
        <w:pStyle w:val="Normal"/>
        <w:jc w:val="center"/>
        <w:rPr>
          <w:b/>
          <w:b/>
          <w:bCs/>
        </w:rPr>
      </w:pPr>
      <w:r>
        <w:rPr>
          <w:b/>
          <w:bCs/>
        </w:rPr>
        <w:t>&lt;&lt;Name of Corporation&gt;&gt;</w:t>
      </w:r>
    </w:p>
    <w:p>
      <w:pPr>
        <w:pStyle w:val="Normal"/>
        <w:jc w:val="center"/>
        <w:rPr>
          <w:b/>
          <w:b/>
          <w:bCs/>
        </w:rPr>
      </w:pPr>
      <w:r>
        <w:rPr>
          <w:b/>
          <w:bCs/>
        </w:rPr>
        <w:t>COMMON SHARE CERTIFICATE</w:t>
      </w:r>
    </w:p>
    <w:p>
      <w:pPr>
        <w:pStyle w:val="Normal"/>
        <w:rPr/>
      </w:pPr>
      <w:r>
        <w:rPr/>
      </w:r>
    </w:p>
    <w:p>
      <w:pPr>
        <w:pStyle w:val="Normal"/>
        <w:rPr/>
      </w:pPr>
      <w:r>
        <w:rPr/>
        <w:t>Certificate No. __________</w:t>
        <w:tab/>
        <w:tab/>
        <w:tab/>
        <w:tab/>
        <w:tab/>
        <w:tab/>
        <w:t>_______ shares</w:t>
      </w:r>
    </w:p>
    <w:p>
      <w:pPr>
        <w:pStyle w:val="Normal"/>
        <w:rPr/>
      </w:pPr>
      <w:r>
        <w:rPr/>
      </w:r>
    </w:p>
    <w:p>
      <w:pPr>
        <w:pStyle w:val="Normal"/>
        <w:rPr/>
      </w:pPr>
      <w:r>
        <w:rPr/>
        <w:t>THIS CERTIFIES THAT _________________ is the owner of ______ shares of the common stock of &lt;&lt;**enter name of corporation**&gt;&gt;, a corporation organized under the laws of the State of Florida, transferable on the books of the corporation by the holder hereof, in person or by duly authorized attorney, on surrender of this certificate properly endorsed. A complete statement of the rights, privileges, and limitations of this stock is available without charge from the corporation upon request.</w:t>
      </w:r>
    </w:p>
    <w:p>
      <w:pPr>
        <w:pStyle w:val="Normal"/>
        <w:rPr/>
      </w:pPr>
      <w:r>
        <w:rPr/>
      </w:r>
    </w:p>
    <w:p>
      <w:pPr>
        <w:pStyle w:val="Normal"/>
        <w:rPr/>
      </w:pPr>
      <w:r>
        <w:rPr/>
        <w:t>WITNESS the seal of the corporation and the signature of its duly authorized officers:</w:t>
      </w:r>
    </w:p>
    <w:p>
      <w:pPr>
        <w:pStyle w:val="Normal"/>
        <w:rPr/>
      </w:pPr>
      <w:r>
        <w:rPr/>
      </w:r>
    </w:p>
    <w:p>
      <w:pPr>
        <w:pStyle w:val="Normal"/>
        <w:rPr/>
      </w:pPr>
      <w:r>
        <w:rPr/>
      </w:r>
    </w:p>
    <w:p>
      <w:pPr>
        <w:pStyle w:val="Normal"/>
        <w:rPr/>
      </w:pPr>
      <w:r>
        <w:rPr/>
        <w:t>&lt;&lt;**enter name of corporation**&gt;&gt;</w:t>
      </w:r>
    </w:p>
    <w:p>
      <w:pPr>
        <w:pStyle w:val="Normal"/>
        <w:rPr/>
      </w:pPr>
      <w:r>
        <w:rPr/>
      </w:r>
    </w:p>
    <w:p>
      <w:pPr>
        <w:pStyle w:val="Normal"/>
        <w:rPr/>
      </w:pPr>
      <w:r>
        <w:rPr/>
        <w:t>By:  ____________________________</w:t>
        <w:tab/>
        <w:t xml:space="preserve">   </w:t>
        <w:tab/>
        <w:t>Date: __________________________</w:t>
      </w:r>
    </w:p>
    <w:p>
      <w:pPr>
        <w:pStyle w:val="Normal"/>
        <w:rPr/>
      </w:pPr>
      <w:r>
        <w:rPr/>
        <w:t xml:space="preserve">    </w:t>
      </w:r>
      <w:r>
        <w:rPr/>
        <w:t>Secretary</w:t>
      </w:r>
    </w:p>
    <w:p>
      <w:pPr>
        <w:pStyle w:val="Normal"/>
        <w:rPr/>
      </w:pPr>
      <w:r>
        <w:rPr/>
      </w:r>
    </w:p>
    <w:p>
      <w:pPr>
        <w:pStyle w:val="Normal"/>
        <w:rPr/>
      </w:pPr>
      <w:r>
        <w:rPr/>
      </w:r>
    </w:p>
    <w:p>
      <w:pPr>
        <w:pStyle w:val="Normal"/>
        <w:rPr/>
      </w:pPr>
      <w:r>
        <w:rPr/>
        <w:t>THESE SECURITIES HAVE NOT BEEN REGISTERED UNDER THE SECURITIES ACT OF 1933, AND MAY NOT BE OFFERED, OFFERED FOR SALE, OR SOLD IN THE ABSENCE OF AN EFFECTIVE REGISTRATION STATEMENT UNDER THE SECURITIES ACT OR ANY OPINION OF COUNSEL SATISFACTORY TO THE CORPORATION THAT REGISTRATION IS NOT REQUIRED.</w:t>
      </w:r>
    </w:p>
    <w:p>
      <w:pPr>
        <w:pStyle w:val="Normal"/>
        <w:rPr/>
      </w:pPr>
      <w:r>
        <w:rPr/>
      </w:r>
    </w:p>
    <w:p>
      <w:pPr>
        <w:pStyle w:val="Normal"/>
        <w:rPr/>
      </w:pPr>
      <w:r>
        <w:rPr/>
      </w:r>
    </w:p>
    <w:p>
      <w:pPr>
        <w:pStyle w:val="Normal"/>
        <w:rPr/>
      </w:pPr>
      <w:r>
        <w:rPr/>
        <w:t>STOCK TRANSFER ENDORSEMENT</w:t>
      </w:r>
    </w:p>
    <w:p>
      <w:pPr>
        <w:pStyle w:val="Normal"/>
        <w:rPr/>
      </w:pPr>
      <w:r>
        <w:rPr/>
        <w:t>(to be completed only if stock is ever transferred)</w:t>
      </w:r>
    </w:p>
    <w:p>
      <w:pPr>
        <w:pStyle w:val="Normal"/>
        <w:rPr/>
      </w:pPr>
      <w:r>
        <w:rPr/>
      </w:r>
    </w:p>
    <w:p>
      <w:pPr>
        <w:pStyle w:val="Normal"/>
        <w:rPr/>
      </w:pPr>
      <w:r>
        <w:rPr/>
        <w:t xml:space="preserve">  </w:t>
      </w:r>
      <w:r>
        <w:rPr/>
        <w:t>FOR VALUE RECEIVED, receipt of which is hereby acknowledged, _______________ hereby sells, assigns, and transfers to _______________________ (____) shares of the stock of this corporation represented by this certificate and hereby irrevocably constitutes and appoints as attorney to transfer these shares on the books of the corporation with full power of substitution in the premises.</w:t>
      </w:r>
    </w:p>
    <w:p>
      <w:pPr>
        <w:pStyle w:val="Normal"/>
        <w:rPr/>
      </w:pPr>
      <w:r>
        <w:rPr/>
      </w:r>
    </w:p>
    <w:p>
      <w:pPr>
        <w:pStyle w:val="Normal"/>
        <w:rPr/>
      </w:pPr>
      <w:r>
        <w:rPr/>
        <w:t xml:space="preserve">__________________________   </w:t>
        <w:tab/>
        <w:tab/>
        <w:tab/>
        <w:t xml:space="preserve">Date: ______________  </w:t>
      </w:r>
    </w:p>
    <w:p>
      <w:pPr>
        <w:pStyle w:val="Normal"/>
        <w:rPr/>
      </w:pPr>
      <w:r>
        <w:rPr/>
        <w:t>Signature</w:t>
      </w:r>
    </w:p>
    <w:p>
      <w:pPr>
        <w:pStyle w:val="Normal"/>
        <w:rPr/>
      </w:pPr>
      <w:r>
        <w:rPr/>
      </w:r>
    </w:p>
    <w:p>
      <w:pPr>
        <w:pStyle w:val="Normal"/>
        <w:rPr/>
      </w:pPr>
      <w:r>
        <w:rPr/>
      </w:r>
      <w:r>
        <w:br w:type="page"/>
      </w:r>
    </w:p>
    <w:p>
      <w:pPr>
        <w:pStyle w:val="Normal"/>
        <w:rPr/>
      </w:pPr>
      <w:r>
        <w:rPr/>
        <w:t>Exhibit B</w:t>
      </w:r>
    </w:p>
    <w:p>
      <w:pPr>
        <w:pStyle w:val="Normal"/>
        <w:rPr/>
      </w:pPr>
      <w:r>
        <w:rPr/>
      </w:r>
    </w:p>
    <w:p>
      <w:pPr>
        <w:pStyle w:val="Normal"/>
        <w:jc w:val="center"/>
        <w:rPr>
          <w:b/>
          <w:b/>
          <w:bCs/>
        </w:rPr>
      </w:pPr>
      <w:r>
        <w:rPr>
          <w:b/>
          <w:bCs/>
        </w:rPr>
        <w:t>BY-LAWS</w:t>
      </w:r>
    </w:p>
    <w:p>
      <w:pPr>
        <w:pStyle w:val="Normal"/>
        <w:jc w:val="center"/>
        <w:rPr>
          <w:b/>
          <w:b/>
          <w:bCs/>
        </w:rPr>
      </w:pPr>
      <w:r>
        <w:rPr>
          <w:b/>
          <w:bCs/>
        </w:rPr>
        <w:t>OF</w:t>
      </w:r>
    </w:p>
    <w:p>
      <w:pPr>
        <w:pStyle w:val="Normal"/>
        <w:jc w:val="center"/>
        <w:rPr>
          <w:b/>
          <w:b/>
          <w:bCs/>
        </w:rPr>
      </w:pPr>
      <w:r>
        <w:rPr>
          <w:b/>
          <w:bCs/>
        </w:rPr>
        <w:t>&lt;**NameOfCorp**&gt;</w:t>
      </w:r>
    </w:p>
    <w:p>
      <w:pPr>
        <w:pStyle w:val="Normal"/>
        <w:rPr/>
      </w:pPr>
      <w:r>
        <w:rPr/>
      </w:r>
    </w:p>
    <w:p>
      <w:pPr>
        <w:pStyle w:val="Normal"/>
        <w:rPr/>
      </w:pPr>
      <w:r>
        <w:rPr/>
      </w:r>
    </w:p>
    <w:p>
      <w:pPr>
        <w:pStyle w:val="Normal"/>
        <w:rPr/>
      </w:pPr>
      <w:r>
        <w:rPr>
          <w:b/>
          <w:bCs/>
        </w:rPr>
        <w:t>Introduction</w:t>
      </w:r>
      <w:r>
        <w:rPr/>
        <w:t xml:space="preserve"> </w:t>
      </w:r>
    </w:p>
    <w:p>
      <w:pPr>
        <w:pStyle w:val="Normal"/>
        <w:rPr/>
      </w:pPr>
      <w:r>
        <w:rPr/>
      </w:r>
    </w:p>
    <w:p>
      <w:pPr>
        <w:pStyle w:val="Normal"/>
        <w:rPr/>
      </w:pPr>
      <w:r>
        <w:rPr/>
        <w:t>1.</w:t>
        <w:tab/>
        <w:t xml:space="preserve">These Bylaws constitute the code of rules adopted by this Corporation for the regulation and management of its affairs. </w:t>
      </w:r>
    </w:p>
    <w:p>
      <w:pPr>
        <w:pStyle w:val="Normal"/>
        <w:rPr/>
      </w:pPr>
      <w:r>
        <w:rPr/>
      </w:r>
    </w:p>
    <w:p>
      <w:pPr>
        <w:pStyle w:val="Normal"/>
        <w:rPr/>
      </w:pPr>
      <w:r>
        <w:rPr>
          <w:b/>
          <w:bCs/>
        </w:rPr>
        <w:t>Shareholders</w:t>
      </w:r>
      <w:r>
        <w:rPr/>
        <w:t xml:space="preserve"> </w:t>
      </w:r>
    </w:p>
    <w:p>
      <w:pPr>
        <w:pStyle w:val="Normal"/>
        <w:rPr/>
      </w:pPr>
      <w:r>
        <w:rPr/>
      </w:r>
    </w:p>
    <w:p>
      <w:pPr>
        <w:pStyle w:val="Normal"/>
        <w:rPr/>
      </w:pPr>
      <w:r>
        <w:rPr/>
        <w:t>2.</w:t>
        <w:tab/>
        <w:t>There shall be one shareholder of this Corporation.  The name of this sole Shareholder member ("Sole Shareholder") is &lt;&lt;name&gt;&gt;.</w:t>
      </w:r>
    </w:p>
    <w:p>
      <w:pPr>
        <w:pStyle w:val="Normal"/>
        <w:rPr/>
      </w:pPr>
      <w:r>
        <w:rPr/>
      </w:r>
    </w:p>
    <w:p>
      <w:pPr>
        <w:pStyle w:val="Normal"/>
        <w:rPr/>
      </w:pPr>
      <w:r>
        <w:rPr/>
      </w:r>
    </w:p>
    <w:p>
      <w:pPr>
        <w:pStyle w:val="Normal"/>
        <w:rPr>
          <w:b/>
          <w:b/>
          <w:bCs/>
        </w:rPr>
      </w:pPr>
      <w:r>
        <w:rPr>
          <w:b/>
          <w:bCs/>
        </w:rPr>
        <w:t>Directors</w:t>
      </w:r>
    </w:p>
    <w:p>
      <w:pPr>
        <w:pStyle w:val="Normal"/>
        <w:rPr/>
      </w:pPr>
      <w:r>
        <w:rPr/>
      </w:r>
    </w:p>
    <w:p>
      <w:pPr>
        <w:pStyle w:val="Normal"/>
        <w:rPr/>
      </w:pPr>
      <w:r>
        <w:rPr/>
        <w:t>3.</w:t>
        <w:tab/>
      </w:r>
      <w:r>
        <w:rPr/>
        <w:t xml:space="preserve">Initially, the Corporation shall have only one director on its "board of directors". That sole director shall be the Sole Shareholder.  The board of directors </w:t>
      </w:r>
      <w:r>
        <w:rPr/>
        <w:t>is vested with the management of the business and affairs of this Corporation subject to the law, the Articles of Incorporation, and these Bylaws.</w:t>
      </w:r>
    </w:p>
    <w:p>
      <w:pPr>
        <w:pStyle w:val="Normal"/>
        <w:rPr/>
      </w:pPr>
      <w:r>
        <w:rPr/>
      </w:r>
    </w:p>
    <w:p>
      <w:pPr>
        <w:pStyle w:val="Normal"/>
        <w:rPr/>
      </w:pPr>
      <w:r>
        <w:rPr/>
        <w:t>4.</w:t>
        <w:tab/>
        <w:t>Qualifications:  Directorships shall not be denied to any person on the basis of race, creed, sex, religion, or national origin.</w:t>
      </w:r>
    </w:p>
    <w:p>
      <w:pPr>
        <w:pStyle w:val="Normal"/>
        <w:rPr/>
      </w:pPr>
      <w:r>
        <w:rPr/>
      </w:r>
    </w:p>
    <w:p>
      <w:pPr>
        <w:pStyle w:val="Normal"/>
        <w:rPr/>
      </w:pPr>
      <w:r>
        <w:rPr/>
        <w:t>5.</w:t>
        <w:tab/>
        <w:t>Selection and Terms of Directors:  All Directors shall be appointed by the Sole Shareholder.  The Sole Shareholder. may remove a Director at any time and for any reason.  The Sole Shareholder. shall inform the Secretary in writing of all such appointments and removals.  The appointment or removal shall be effective only upon receipt of this written communication.  This Corporation shall not be bound by such appointments and removals unless the person signing the written communication has been properly authorized by the Sole Shareholder. All Directors shall serve until they either resign or are removed pursuant to these bylaws.</w:t>
      </w:r>
    </w:p>
    <w:p>
      <w:pPr>
        <w:pStyle w:val="Normal"/>
        <w:rPr/>
      </w:pPr>
      <w:r>
        <w:rPr/>
      </w:r>
    </w:p>
    <w:p>
      <w:pPr>
        <w:pStyle w:val="Normal"/>
        <w:rPr/>
      </w:pPr>
      <w:r>
        <w:rPr/>
        <w:t>6.</w:t>
        <w:tab/>
        <w:t xml:space="preserve">Number of Directors:  The Board of Directors shall initially consist of one director. The initial director is &lt;&lt;name </w:t>
      </w:r>
      <w:r>
        <w:rPr/>
        <w:t>of Sole Shareholder</w:t>
      </w:r>
      <w:r>
        <w:rPr/>
        <w:t xml:space="preserve">&gt;&gt;.  The number of directors may be increased in accordance with the bylaws.  The Sole Shareholder may increase the number of directors by appointing additional directors in accordance with the provisions of these Bylaws </w:t>
      </w:r>
    </w:p>
    <w:p>
      <w:pPr>
        <w:pStyle w:val="Normal"/>
        <w:rPr/>
      </w:pPr>
      <w:r>
        <w:rPr/>
      </w:r>
    </w:p>
    <w:p>
      <w:pPr>
        <w:pStyle w:val="Normal"/>
        <w:rPr/>
      </w:pPr>
      <w:r>
        <w:rPr/>
        <w:t>7.</w:t>
        <w:tab/>
        <w:t>Resignations: Resignations of directors shall become effective immediately or on the date specified in the resignation.  The Secretary shall notify the Sole Shareholder. of all resignations within a reasonable time thereafter.</w:t>
      </w:r>
    </w:p>
    <w:p>
      <w:pPr>
        <w:pStyle w:val="Normal"/>
        <w:rPr/>
      </w:pPr>
      <w:r>
        <w:rPr/>
      </w:r>
    </w:p>
    <w:p>
      <w:pPr>
        <w:pStyle w:val="Normal"/>
        <w:rPr/>
      </w:pPr>
      <w:r>
        <w:rPr/>
        <w:t>8.</w:t>
        <w:tab/>
        <w:t>Place of Director's Meetings:  Meetings of the board of directors shall will be held at the primary place of business for this Corporation or at any other place within or without the State of Florida that is designated by the Chairperson or the board of directors .</w:t>
      </w:r>
    </w:p>
    <w:p>
      <w:pPr>
        <w:pStyle w:val="Normal"/>
        <w:rPr/>
      </w:pPr>
      <w:r>
        <w:rPr/>
      </w:r>
    </w:p>
    <w:p>
      <w:pPr>
        <w:pStyle w:val="Normal"/>
        <w:rPr/>
      </w:pPr>
      <w:r>
        <w:rPr/>
        <w:t>9.</w:t>
        <w:tab/>
        <w:t>Meetings:  Meetings of the Board of Directors may be called by:</w:t>
      </w:r>
    </w:p>
    <w:p>
      <w:pPr>
        <w:pStyle w:val="Normal"/>
        <w:rPr/>
      </w:pPr>
      <w:r>
        <w:rPr/>
      </w:r>
    </w:p>
    <w:p>
      <w:pPr>
        <w:pStyle w:val="Normal"/>
        <w:rPr/>
      </w:pPr>
      <w:r>
        <w:rPr/>
        <w:tab/>
        <w:t>1.</w:t>
        <w:tab/>
        <w:t>the Board of Directors</w:t>
      </w:r>
    </w:p>
    <w:p>
      <w:pPr>
        <w:pStyle w:val="Normal"/>
        <w:rPr/>
      </w:pPr>
      <w:r>
        <w:rPr/>
        <w:tab/>
        <w:t>2.</w:t>
        <w:tab/>
        <w:t>The Secretary upon the written request of a majority of the directors.</w:t>
      </w:r>
    </w:p>
    <w:p>
      <w:pPr>
        <w:pStyle w:val="Normal"/>
        <w:rPr/>
      </w:pPr>
      <w:r>
        <w:rPr/>
      </w:r>
    </w:p>
    <w:p>
      <w:pPr>
        <w:pStyle w:val="Normal"/>
        <w:rPr/>
      </w:pPr>
      <w:r>
        <w:rPr/>
        <w:t>10.</w:t>
        <w:tab/>
        <w:t>Notice of Director Meetings:  Written notice of all director meetings shall be give to each director no less than two (2) days nor more than ten (10) days prior to the meeting.  Such notice may be delivered by email in cases where a director has an email address that has been been verified to be valid through its use in prior correspondence.</w:t>
      </w:r>
    </w:p>
    <w:p>
      <w:pPr>
        <w:pStyle w:val="Normal"/>
        <w:rPr/>
      </w:pPr>
      <w:r>
        <w:rPr/>
      </w:r>
    </w:p>
    <w:p>
      <w:pPr>
        <w:pStyle w:val="Normal"/>
        <w:rPr/>
      </w:pPr>
      <w:r>
        <w:rPr/>
        <w:t>11.</w:t>
        <w:tab/>
        <w:t>Waiver of Notice:  Attendance by a director at any meeting of the Board of Directors will constitute a waiver of notice of such meeting except where such director attends the meeting for the express purpose of objecting, at the beginning of the meeting, to the transaction of business because the meeting is not lawfully called or convened.</w:t>
      </w:r>
    </w:p>
    <w:p>
      <w:pPr>
        <w:pStyle w:val="Normal"/>
        <w:rPr/>
      </w:pPr>
      <w:r>
        <w:rPr/>
      </w:r>
    </w:p>
    <w:p>
      <w:pPr>
        <w:pStyle w:val="Normal"/>
        <w:rPr/>
      </w:pPr>
      <w:r>
        <w:rPr/>
        <w:t>12.</w:t>
        <w:tab/>
        <w:t xml:space="preserve">Quorum:  A majority of the then incumbent directors shall constitute a quorum for the conduct of business.  At a meeting of the directors where a quorum is present, a majority vote of the directors attending shall constitute an act of the directors unless a greater number is required by law or by these bylaws.  </w:t>
      </w:r>
    </w:p>
    <w:p>
      <w:pPr>
        <w:pStyle w:val="Normal"/>
        <w:rPr/>
      </w:pPr>
      <w:r>
        <w:rPr/>
      </w:r>
    </w:p>
    <w:p>
      <w:pPr>
        <w:pStyle w:val="Normal"/>
        <w:rPr/>
      </w:pPr>
      <w:r>
        <w:rPr/>
      </w:r>
    </w:p>
    <w:p>
      <w:pPr>
        <w:pStyle w:val="Normal"/>
        <w:rPr>
          <w:b/>
          <w:b/>
          <w:bCs/>
        </w:rPr>
      </w:pPr>
      <w:r>
        <w:rPr>
          <w:b/>
          <w:bCs/>
        </w:rPr>
        <w:t>Officers</w:t>
      </w:r>
    </w:p>
    <w:p>
      <w:pPr>
        <w:pStyle w:val="Normal"/>
        <w:rPr/>
      </w:pPr>
      <w:r>
        <w:rPr/>
      </w:r>
    </w:p>
    <w:p>
      <w:pPr>
        <w:pStyle w:val="Normal"/>
        <w:rPr/>
      </w:pPr>
      <w:r>
        <w:rPr/>
        <w:t>13.</w:t>
        <w:tab/>
        <w:t xml:space="preserve">Roster of Officers:  The Board of Directors, by Resolution, may, from time to time, appoint such officers as it deems necessary or appropriate to perform designated duties and functions. At a minimum the Corporation shall have a President and Secretary.  It is permissible for one person to hold more than one office. </w:t>
      </w:r>
    </w:p>
    <w:p>
      <w:pPr>
        <w:pStyle w:val="Normal"/>
        <w:rPr/>
      </w:pPr>
      <w:r>
        <w:rPr/>
      </w:r>
    </w:p>
    <w:p>
      <w:pPr>
        <w:pStyle w:val="Normal"/>
        <w:rPr/>
      </w:pPr>
      <w:r>
        <w:rPr/>
        <w:t>14.</w:t>
        <w:tab/>
        <w:t xml:space="preserve">President:  In general, the President shall be the chief executive officer of the corporation and shall carry out duties assigned from time to time by the Board of Directors. </w:t>
      </w:r>
    </w:p>
    <w:p>
      <w:pPr>
        <w:pStyle w:val="Normal"/>
        <w:rPr/>
      </w:pPr>
      <w:r>
        <w:rPr/>
      </w:r>
    </w:p>
    <w:p>
      <w:pPr>
        <w:pStyle w:val="Normal"/>
        <w:rPr/>
      </w:pPr>
      <w:r>
        <w:rPr/>
        <w:t>15.</w:t>
        <w:tab/>
        <w:t>Secretary:  The Secretary will keep minutes of all meetings of the Board of Directors, will be the custodian of the corporate records, will give all notices as are required by law or these bylaws, and generally, will perform all duties incident to the office of Secretary and such other duties as may be required by law, by the Articles of Incorporation, or by these bylaws.</w:t>
      </w:r>
    </w:p>
    <w:p>
      <w:pPr>
        <w:pStyle w:val="Normal"/>
        <w:rPr/>
      </w:pPr>
      <w:r>
        <w:rPr/>
      </w:r>
    </w:p>
    <w:p>
      <w:pPr>
        <w:pStyle w:val="Normal"/>
        <w:rPr/>
      </w:pPr>
      <w:r>
        <w:rPr/>
        <w:t>16.</w:t>
        <w:tab/>
        <w:t>Designation of Other Officers  The Board of Directors, in its discretion, may, by Resolution, designate other officers. Such officers, if so designated, shall have such authority as may be granted from time to time by the board of directors.</w:t>
      </w:r>
    </w:p>
    <w:p>
      <w:pPr>
        <w:pStyle w:val="Normal"/>
        <w:rPr/>
      </w:pPr>
      <w:r>
        <w:rPr/>
      </w:r>
    </w:p>
    <w:p>
      <w:pPr>
        <w:pStyle w:val="Normal"/>
        <w:rPr/>
      </w:pPr>
      <w:r>
        <w:rPr/>
        <w:t xml:space="preserve">17. </w:t>
        <w:tab/>
        <w:t>Selection and Removal of Officers:  All officers shall serve indefinite terms.  As a general rule the directors shall review the performance of the officers once a year for the purpose of considering whether or not to keep or replace them (but this review, however, is not mandatory). An officer shall remain in office until his or her successor has been selected.  Any officer may be removed by the Board of Directors at any time and for any reason with or without cause   Such removal, however, shall be without prejudice to the contract rights (if any) of such officer.</w:t>
      </w:r>
    </w:p>
    <w:p>
      <w:pPr>
        <w:pStyle w:val="Normal"/>
        <w:rPr/>
      </w:pPr>
      <w:r>
        <w:rPr/>
      </w:r>
    </w:p>
    <w:p>
      <w:pPr>
        <w:pStyle w:val="Normal"/>
        <w:rPr/>
      </w:pPr>
      <w:r>
        <w:rPr/>
      </w:r>
    </w:p>
    <w:p>
      <w:pPr>
        <w:pStyle w:val="Normal"/>
        <w:rPr>
          <w:b/>
          <w:b/>
          <w:bCs/>
        </w:rPr>
      </w:pPr>
      <w:r>
        <w:rPr>
          <w:b/>
          <w:bCs/>
        </w:rPr>
        <w:t>Informal Action</w:t>
      </w:r>
    </w:p>
    <w:p>
      <w:pPr>
        <w:pStyle w:val="Normal"/>
        <w:rPr/>
      </w:pPr>
      <w:r>
        <w:rPr/>
      </w:r>
    </w:p>
    <w:p>
      <w:pPr>
        <w:pStyle w:val="Normal"/>
        <w:rPr/>
      </w:pPr>
      <w:r>
        <w:rPr/>
        <w:t>18.</w:t>
        <w:tab/>
        <w:t>Action by Consent:  Any action required by law or under the Articles of Incorporation or by these bylaws, or any action which otherwise may be taken at a meeting of the board of directors may be taken without a meeting if a consent in writing, setting forth the action so taken, is signed by all of the persons entitled to vote with respect to the subject matter of such consent, or all directors in office, and filed with the secretary of the Corporation.</w:t>
      </w:r>
    </w:p>
    <w:p>
      <w:pPr>
        <w:pStyle w:val="Normal"/>
        <w:rPr/>
      </w:pPr>
      <w:r>
        <w:rPr/>
      </w:r>
    </w:p>
    <w:p>
      <w:pPr>
        <w:pStyle w:val="Normal"/>
        <w:rPr/>
      </w:pPr>
      <w:r>
        <w:rPr/>
      </w:r>
    </w:p>
    <w:p>
      <w:pPr>
        <w:pStyle w:val="Normal"/>
        <w:rPr>
          <w:b/>
          <w:b/>
          <w:bCs/>
        </w:rPr>
      </w:pPr>
      <w:r>
        <w:rPr>
          <w:b/>
          <w:bCs/>
        </w:rPr>
        <w:t>Operations</w:t>
      </w:r>
    </w:p>
    <w:p>
      <w:pPr>
        <w:pStyle w:val="Normal"/>
        <w:rPr/>
      </w:pPr>
      <w:r>
        <w:rPr/>
      </w:r>
    </w:p>
    <w:p>
      <w:pPr>
        <w:pStyle w:val="Normal"/>
        <w:rPr/>
      </w:pPr>
      <w:r>
        <w:rPr/>
        <w:t>19.</w:t>
        <w:tab/>
        <w:t>Inspection of Books and Records:  All books and records of this Corporation may be inspected by any Director for any purpose at any reasonable time on written demand.</w:t>
      </w:r>
    </w:p>
    <w:p>
      <w:pPr>
        <w:pStyle w:val="Normal"/>
        <w:rPr/>
      </w:pPr>
      <w:r>
        <w:rPr/>
      </w:r>
    </w:p>
    <w:p>
      <w:pPr>
        <w:pStyle w:val="Normal"/>
        <w:rPr/>
      </w:pPr>
      <w:r>
        <w:rPr/>
        <w:t>20.</w:t>
        <w:tab/>
        <w:t>Loans to Management:  This Corporation will make no loans to any of its Directors or Officers.</w:t>
      </w:r>
    </w:p>
    <w:p>
      <w:pPr>
        <w:pStyle w:val="Normal"/>
        <w:rPr/>
      </w:pPr>
      <w:r>
        <w:rPr/>
      </w:r>
    </w:p>
    <w:p>
      <w:pPr>
        <w:pStyle w:val="Normal"/>
        <w:rPr/>
      </w:pPr>
      <w:r>
        <w:rPr/>
        <w:t>21.</w:t>
        <w:tab/>
        <w:t xml:space="preserve">Execution of Documents:  Except as otherwise provided by law, checks, drafts, and orders for the payment of money of this Corporation shall be signed by </w:t>
      </w:r>
      <w:r>
        <w:rPr/>
        <w:t xml:space="preserve">the President </w:t>
      </w:r>
      <w:r>
        <w:rPr/>
        <w:t xml:space="preserve">one or more persons who have been designated by a Resolution of the board of directors. Contracts, promissory notes, leases, or other instruments executed in the name of and on behalf of the Corporation shall be signed by </w:t>
      </w:r>
      <w:r>
        <w:rPr/>
        <w:t xml:space="preserve">the President or </w:t>
      </w:r>
      <w:r>
        <w:rPr/>
        <w:t xml:space="preserve">one or more person who have been authorized and directed to do so by the board of directors. No contract shall be valid unless it has been </w:t>
      </w:r>
      <w:r>
        <w:rPr/>
        <w:t xml:space="preserve">consented to in writing by the </w:t>
      </w:r>
      <w:r>
        <w:rPr/>
        <w:t xml:space="preserve">board of directors </w:t>
      </w:r>
      <w:r>
        <w:rPr/>
        <w:t>(that is, the sole director)</w:t>
      </w:r>
      <w:r>
        <w:rPr/>
        <w:t>.</w:t>
      </w:r>
    </w:p>
    <w:p>
      <w:pPr>
        <w:pStyle w:val="Normal"/>
        <w:rPr/>
      </w:pPr>
      <w:r>
        <w:rPr/>
      </w:r>
    </w:p>
    <w:p>
      <w:pPr>
        <w:pStyle w:val="Normal"/>
        <w:rPr>
          <w:b/>
          <w:b/>
          <w:bCs/>
        </w:rPr>
      </w:pPr>
      <w:r>
        <w:rPr>
          <w:b/>
          <w:bCs/>
        </w:rPr>
        <w:t>Amendments</w:t>
      </w:r>
    </w:p>
    <w:p>
      <w:pPr>
        <w:pStyle w:val="Normal"/>
        <w:rPr/>
      </w:pPr>
      <w:r>
        <w:rPr/>
      </w:r>
    </w:p>
    <w:p>
      <w:pPr>
        <w:pStyle w:val="Normal"/>
        <w:rPr/>
      </w:pPr>
      <w:r>
        <w:rPr/>
        <w:t>22.</w:t>
        <w:tab/>
        <w:t>The Board of Directors may adopt Articles of Amendment (amending the Articles of Incorporation).  Articles of Amendment must be adopted in accordance with Florida Law.   The bylaws may be amended at anytime by a vote of the majority of directors at a meeting where a quorum is present.</w:t>
      </w:r>
    </w:p>
    <w:p>
      <w:pPr>
        <w:pStyle w:val="Normal"/>
        <w:rPr/>
      </w:pPr>
      <w:r>
        <w:rPr/>
      </w:r>
    </w:p>
    <w:p>
      <w:pPr>
        <w:pStyle w:val="Normal"/>
        <w:rPr/>
      </w:pPr>
      <w:r>
        <w:rPr/>
      </w:r>
    </w:p>
    <w:p>
      <w:pPr>
        <w:pStyle w:val="Normal"/>
        <w:rPr>
          <w:b/>
          <w:b/>
          <w:bCs/>
        </w:rPr>
      </w:pPr>
      <w:r>
        <w:rPr>
          <w:b/>
          <w:bCs/>
        </w:rPr>
        <w:t>Indemnification</w:t>
      </w:r>
    </w:p>
    <w:p>
      <w:pPr>
        <w:pStyle w:val="Normal"/>
        <w:rPr/>
      </w:pPr>
      <w:r>
        <w:rPr/>
      </w:r>
    </w:p>
    <w:p>
      <w:pPr>
        <w:pStyle w:val="Normal"/>
        <w:rPr/>
      </w:pPr>
      <w:r>
        <w:rPr/>
        <w:t>23.</w:t>
        <w:tab/>
        <w:t>Any person (and the heirs, executors and administrators of such person) made or threatened to be made a party to any action, suit of proceeding by reason of the fact that he or she is or was a Director or Officer of the Corporation shall be indemnified by the Corporation against any and all liability and the reasonable expenses, including attorney's fees and disbursements, incurred by him (or by his heirs, executors or administrators) in connection with the defense or settlement of such action, suit or proceeding, or in connection with any appearance therein, except in relation to matters as to which it shall be adjudged in such action, suit or proceeding that such Director or Officer is liable for negligence or misconduct in the performance of his duties.  Such right of indemnification shall not be deemed exclusive of any other rights to which such Director or Office (or such heirs, executors of administrators) may be entitled apart from this Article.</w:t>
      </w:r>
    </w:p>
    <w:p>
      <w:pPr>
        <w:pStyle w:val="Normal"/>
        <w:rPr/>
      </w:pPr>
      <w:r>
        <w:rPr/>
      </w:r>
    </w:p>
    <w:p>
      <w:pPr>
        <w:pStyle w:val="Normal"/>
        <w:rPr/>
      </w:pPr>
      <w:r>
        <w:rPr/>
      </w:r>
    </w:p>
    <w:p>
      <w:pPr>
        <w:pStyle w:val="Normal"/>
        <w:rPr/>
      </w:pPr>
      <w:r>
        <w:rPr/>
      </w:r>
    </w:p>
    <w:sectPr>
      <w:footerReference w:type="default" r:id="rId3"/>
      <w:type w:val="nextPage"/>
      <w:pgSz w:w="12240" w:h="15840"/>
      <w:pgMar w:left="1440" w:right="1440" w:gutter="0" w:header="0" w:top="1440" w:footer="759" w:bottom="1271"/>
      <w:pgNumType w:start="1"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swiss"/>
    <w:pitch w:val="default"/>
  </w:font>
  <w:font w:name="Liberation Sans">
    <w:altName w:val="Arial"/>
    <w:charset w:val="01"/>
    <w:family w:val="swiss"/>
    <w:pitch w:val="default"/>
  </w:font>
  <w:font w:name="Arial Narrow">
    <w:charset w:val="01"/>
    <w:family w:val="swiss"/>
    <w:pitch w:val="default"/>
  </w:font>
  <w:font w:name="Arial">
    <w:charset w:val="01"/>
    <w:family w:val="swiss"/>
    <w:pitch w:val="default"/>
  </w:font>
  <w:font w:name="OpenSymbol">
    <w:altName w:val="Arial Unicode MS"/>
    <w:charset w:val="01"/>
    <w:family w:val="swiss"/>
    <w:pitch w:val="default"/>
  </w:font>
  <w:font w:name="Courier New">
    <w:charset w:val="01"/>
    <w:family w:val="swiss"/>
    <w:pitch w:val="default"/>
  </w:font>
  <w:font w:name="Calibri">
    <w:charset w:val="01"/>
    <w:family w:val="swiss"/>
    <w:pitch w:val="default"/>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rFonts w:ascii="Liberation Sans" w:hAnsi="Liberation Sans" w:cs="Courier New"/>
        <w:sz w:val="18"/>
        <w:szCs w:val="18"/>
      </w:rPr>
    </w:pPr>
    <w:r>
      <w:rPr>
        <w:rFonts w:cs="Courier New"/>
        <w:sz w:val="18"/>
        <w:szCs w:val="18"/>
      </w:rPr>
      <w:fldChar w:fldCharType="begin"/>
    </w:r>
    <w:r>
      <w:rPr>
        <w:sz w:val="18"/>
        <w:szCs w:val="18"/>
        <w:rFonts w:cs="Courier New"/>
      </w:rPr>
      <w:instrText xml:space="preserve"> PAGE </w:instrText>
    </w:r>
    <w:r>
      <w:rPr>
        <w:sz w:val="18"/>
        <w:szCs w:val="18"/>
        <w:rFonts w:cs="Courier New"/>
      </w:rPr>
      <w:fldChar w:fldCharType="separate"/>
    </w:r>
    <w:r>
      <w:rPr>
        <w:sz w:val="18"/>
        <w:szCs w:val="18"/>
        <w:rFonts w:cs="Courier New"/>
      </w:rPr>
      <w:t>2</w:t>
    </w:r>
    <w:r>
      <w:rPr>
        <w:sz w:val="18"/>
        <w:szCs w:val="18"/>
        <w:rFonts w:cs="Courier New"/>
      </w:rPr>
      <w:fldChar w:fldCharType="end"/>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sz w:val="16"/>
        <w:szCs w:val="16"/>
      </w:rPr>
    </w:pPr>
    <w:r>
      <w:rPr>
        <w:sz w:val="16"/>
        <w:szCs w:val="16"/>
      </w:rPr>
      <w:t xml:space="preserve">Exhibits to </w:t>
    </w:r>
    <w:r>
      <w:rPr>
        <w:sz w:val="16"/>
        <w:szCs w:val="16"/>
      </w:rPr>
      <w:t xml:space="preserve">Consent of Incorporator - </w:t>
    </w:r>
    <w:r>
      <w:rPr>
        <w:sz w:val="16"/>
        <w:szCs w:val="16"/>
      </w:rPr>
      <w:t xml:space="preserve"> Page </w:t>
    </w:r>
    <w:r>
      <w:rPr>
        <w:sz w:val="16"/>
        <w:szCs w:val="16"/>
      </w:rPr>
      <w:fldChar w:fldCharType="begin"/>
    </w:r>
    <w:r>
      <w:rPr>
        <w:sz w:val="16"/>
        <w:szCs w:val="16"/>
      </w:rPr>
      <w:instrText xml:space="preserve"> PAGE </w:instrText>
    </w:r>
    <w:r>
      <w:rPr>
        <w:sz w:val="16"/>
        <w:szCs w:val="16"/>
      </w:rPr>
      <w:fldChar w:fldCharType="separate"/>
    </w:r>
    <w:r>
      <w:rPr>
        <w:sz w:val="16"/>
        <w:szCs w:val="16"/>
      </w:rPr>
      <w:t>5</w:t>
    </w:r>
    <w:r>
      <w:rPr>
        <w:sz w:val="16"/>
        <w:szCs w:val="16"/>
      </w:rPr>
      <w:fldChar w:fldCharType="end"/>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 %1."/>
      <w:lvlJc w:val="left"/>
      <w:pPr>
        <w:tabs>
          <w:tab w:val="num" w:pos="720"/>
        </w:tabs>
        <w:ind w:left="0" w:hanging="0"/>
      </w:pPr>
      <w:rPr/>
    </w:lvl>
    <w:lvl w:ilvl="1">
      <w:start w:val="1"/>
      <w:numFmt w:val="decimal"/>
      <w:lvlText w:val=" %1.%2."/>
      <w:lvlJc w:val="left"/>
      <w:pPr>
        <w:tabs>
          <w:tab w:val="num" w:pos="1080"/>
        </w:tabs>
        <w:ind w:left="1080" w:hanging="720"/>
      </w:pPr>
      <w:rPr/>
    </w:lvl>
    <w:lvl w:ilvl="2">
      <w:start w:val="1"/>
      <w:numFmt w:val="lowerLetter"/>
      <w:lvlText w:val=" %3)"/>
      <w:lvlJc w:val="left"/>
      <w:pPr>
        <w:tabs>
          <w:tab w:val="num" w:pos="1584"/>
        </w:tabs>
        <w:ind w:left="1584" w:hanging="504"/>
      </w:pPr>
      <w:rPr/>
    </w:lvl>
    <w:lvl w:ilvl="3">
      <w:start w:val="1"/>
      <w:numFmt w:val="bullet"/>
      <w:lvlText w:val=""/>
      <w:lvlJc w:val="left"/>
      <w:pPr>
        <w:tabs>
          <w:tab w:val="num" w:pos="1728"/>
        </w:tabs>
        <w:ind w:left="1728" w:hanging="288"/>
      </w:pPr>
      <w:rPr>
        <w:rFonts w:ascii="Symbol" w:hAnsi="Symbol" w:cs="Symbol" w:hint="default"/>
      </w:rPr>
    </w:lvl>
    <w:lvl w:ilvl="4">
      <w:start w:val="1"/>
      <w:numFmt w:val="bullet"/>
      <w:lvlText w:val=""/>
      <w:lvlJc w:val="left"/>
      <w:pPr>
        <w:tabs>
          <w:tab w:val="num" w:pos="2016"/>
        </w:tabs>
        <w:ind w:left="2016" w:hanging="216"/>
      </w:pPr>
      <w:rPr>
        <w:rFonts w:ascii="Symbol" w:hAnsi="Symbol" w:cs="Symbol" w:hint="default"/>
      </w:rPr>
    </w:lvl>
    <w:lvl w:ilvl="5">
      <w:start w:val="1"/>
      <w:numFmt w:val="bullet"/>
      <w:lvlText w:val=""/>
      <w:lvlJc w:val="left"/>
      <w:pPr>
        <w:tabs>
          <w:tab w:val="num" w:pos="720"/>
        </w:tabs>
        <w:ind w:left="1701" w:hanging="283"/>
      </w:pPr>
      <w:rPr>
        <w:rFonts w:ascii="Symbol" w:hAnsi="Symbol" w:cs="Symbol" w:hint="default"/>
      </w:rPr>
    </w:lvl>
    <w:lvl w:ilvl="6">
      <w:start w:val="1"/>
      <w:numFmt w:val="bullet"/>
      <w:lvlText w:val=""/>
      <w:lvlJc w:val="left"/>
      <w:pPr>
        <w:tabs>
          <w:tab w:val="num" w:pos="720"/>
        </w:tabs>
        <w:ind w:left="1984" w:hanging="283"/>
      </w:pPr>
      <w:rPr>
        <w:rFonts w:ascii="Symbol" w:hAnsi="Symbol" w:cs="Symbol" w:hint="default"/>
      </w:rPr>
    </w:lvl>
    <w:lvl w:ilvl="7">
      <w:start w:val="1"/>
      <w:numFmt w:val="bullet"/>
      <w:lvlText w:val=""/>
      <w:lvlJc w:val="left"/>
      <w:pPr>
        <w:tabs>
          <w:tab w:val="num" w:pos="720"/>
        </w:tabs>
        <w:ind w:left="2268" w:hanging="283"/>
      </w:pPr>
      <w:rPr>
        <w:rFonts w:ascii="Symbol" w:hAnsi="Symbol" w:cs="Symbol" w:hint="default"/>
      </w:rPr>
    </w:lvl>
    <w:lvl w:ilvl="8">
      <w:start w:val="1"/>
      <w:numFmt w:val="bullet"/>
      <w:lvlText w:val=""/>
      <w:lvlJc w:val="left"/>
      <w:pPr>
        <w:tabs>
          <w:tab w:val="num" w:pos="720"/>
        </w:tabs>
        <w:ind w:left="2551" w:hanging="283"/>
      </w:pPr>
      <w:rPr>
        <w:rFonts w:ascii="Symbol" w:hAnsi="Symbol" w:cs="Symbol"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30"/>
  <w:defaultTabStop w:val="709"/>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DejaVu Sans" w:cs="FreeSans"/>
        <w:kern w:val="2"/>
        <w:sz w:val="24"/>
        <w:szCs w:val="24"/>
        <w:lang w:val="en-US" w:eastAsia="zh-CN" w:bidi="hi-IN"/>
      </w:rPr>
    </w:rPrDefault>
    <w:pPrDefault>
      <w:pPr>
        <w:suppressAutoHyphens w:val="true"/>
      </w:pPr>
    </w:pPrDefault>
  </w:docDefaults>
  <w:style w:type="paragraph" w:styleId="Normal">
    <w:name w:val="Normal"/>
    <w:qFormat/>
    <w:pPr>
      <w:widowControl w:val="false"/>
      <w:tabs>
        <w:tab w:val="clear" w:pos="709"/>
      </w:tabs>
      <w:suppressAutoHyphens w:val="false"/>
      <w:overflowPunct w:val="true"/>
      <w:bidi w:val="0"/>
      <w:spacing w:before="0" w:after="0"/>
      <w:jc w:val="both"/>
    </w:pPr>
    <w:rPr>
      <w:rFonts w:ascii="Liberation Sans" w:hAnsi="Liberation Sans" w:eastAsia="DejaVu Sans" w:cs="FreeSans"/>
      <w:color w:val="auto"/>
      <w:kern w:val="2"/>
      <w:sz w:val="24"/>
      <w:szCs w:val="24"/>
      <w:lang w:val="en-US" w:eastAsia="zh-CN" w:bidi="hi-IN"/>
    </w:rPr>
  </w:style>
  <w:style w:type="paragraph" w:styleId="Heading1">
    <w:name w:val="Heading 1"/>
    <w:basedOn w:val="Normal"/>
    <w:next w:val="TextBody"/>
    <w:qFormat/>
    <w:pPr>
      <w:keepNext w:val="true"/>
      <w:keepLines/>
      <w:widowControl/>
      <w:numPr>
        <w:ilvl w:val="0"/>
        <w:numId w:val="0"/>
      </w:numPr>
      <w:outlineLvl w:val="0"/>
    </w:pPr>
    <w:rPr>
      <w:rFonts w:ascii="Arial Narrow" w:hAnsi="Arial Narrow" w:cs="Arial Narrow"/>
      <w:b/>
      <w:bCs/>
    </w:rPr>
  </w:style>
  <w:style w:type="paragraph" w:styleId="Heading2">
    <w:name w:val="Heading 2"/>
    <w:basedOn w:val="Normal"/>
    <w:next w:val="TextBody"/>
    <w:qFormat/>
    <w:pPr>
      <w:keepNext w:val="true"/>
      <w:numPr>
        <w:ilvl w:val="0"/>
        <w:numId w:val="0"/>
      </w:numPr>
      <w:spacing w:before="240" w:after="60"/>
      <w:outlineLvl w:val="1"/>
    </w:pPr>
    <w:rPr>
      <w:rFonts w:ascii="Arial" w:hAnsi="Arial" w:cs="Arial"/>
      <w:b/>
      <w:bCs/>
      <w:i/>
      <w:iCs/>
      <w:sz w:val="28"/>
      <w:szCs w:val="28"/>
    </w:rPr>
  </w:style>
  <w:style w:type="paragraph" w:styleId="Heading3">
    <w:name w:val="Heading 3"/>
    <w:basedOn w:val="Normal"/>
    <w:next w:val="TextBody"/>
    <w:qFormat/>
    <w:pPr>
      <w:keepNext w:val="true"/>
      <w:numPr>
        <w:ilvl w:val="0"/>
        <w:numId w:val="0"/>
      </w:numPr>
      <w:spacing w:before="240" w:after="60"/>
      <w:outlineLvl w:val="2"/>
    </w:pPr>
    <w:rPr>
      <w:rFonts w:ascii="Arial" w:hAnsi="Arial" w:cs="Arial"/>
      <w:b/>
      <w:bCs/>
      <w:sz w:val="26"/>
      <w:szCs w:val="26"/>
    </w:rPr>
  </w:style>
  <w:style w:type="paragraph" w:styleId="Heading6">
    <w:name w:val="Heading 6"/>
    <w:basedOn w:val="Normal"/>
    <w:next w:val="TextBody"/>
    <w:qFormat/>
    <w:pPr>
      <w:numPr>
        <w:ilvl w:val="0"/>
        <w:numId w:val="0"/>
      </w:numPr>
      <w:spacing w:before="240" w:after="60"/>
      <w:outlineLvl w:val="5"/>
    </w:pPr>
    <w:rPr>
      <w:b/>
      <w:bCs/>
      <w:sz w:val="22"/>
      <w:szCs w:val="22"/>
    </w:rPr>
  </w:style>
  <w:style w:type="character" w:styleId="NumberingSymbols">
    <w:name w:val="Numbering Symbols"/>
    <w:qFormat/>
    <w:rPr/>
  </w:style>
  <w:style w:type="character" w:styleId="Bullets">
    <w:name w:val="Bullets"/>
    <w:qFormat/>
    <w:rPr>
      <w:rFonts w:ascii="OpenSymbol" w:hAnsi="OpenSymbol" w:eastAsia="OpenSymbol" w:cs="OpenSymbol"/>
    </w:rPr>
  </w:style>
  <w:style w:type="character" w:styleId="AIAHeadingRegistered">
    <w:name w:val="AIA Heading Registered"/>
    <w:qFormat/>
    <w:rPr>
      <w:rFonts w:ascii="Courier New" w:hAnsi="Courier New" w:cs="Courier New"/>
      <w:sz w:val="20"/>
      <w:szCs w:val="20"/>
      <w:vertAlign w:val="superscript"/>
    </w:rPr>
  </w:style>
  <w:style w:type="character" w:styleId="AIAHeadingTrademark">
    <w:name w:val="AIA Heading Trademark"/>
    <w:qFormat/>
    <w:rPr>
      <w:rFonts w:ascii="Courier New" w:hAnsi="Courier New" w:cs="Courier New"/>
      <w:sz w:val="20"/>
      <w:szCs w:val="20"/>
      <w:vertAlign w:val="superscript"/>
    </w:rPr>
  </w:style>
  <w:style w:type="character" w:styleId="AIAEmphasis">
    <w:name w:val="AIA Emphasis"/>
    <w:qFormat/>
    <w:rPr>
      <w:rFonts w:ascii="Arial Narrow" w:hAnsi="Arial Narrow" w:cs="Arial Narrow"/>
      <w:b/>
      <w:bCs/>
      <w:sz w:val="20"/>
      <w:szCs w:val="20"/>
    </w:rPr>
  </w:style>
  <w:style w:type="character" w:styleId="AIAFillPointText">
    <w:name w:val="AIA FillPoint Text"/>
    <w:qFormat/>
    <w:rPr>
      <w:rFonts w:ascii="Times New Roman" w:hAnsi="Times New Roman" w:cs="Times New Roman"/>
      <w:color w:val="00000A"/>
      <w:sz w:val="20"/>
      <w:szCs w:val="20"/>
      <w:u w:val="none"/>
      <w:shd w:fill="C0C0C0" w:val="clear"/>
    </w:rPr>
  </w:style>
  <w:style w:type="character" w:styleId="AIAParagraphNumber">
    <w:name w:val="AIA Paragraph Number"/>
    <w:qFormat/>
    <w:rPr>
      <w:rFonts w:ascii="Arial Narrow" w:hAnsi="Arial Narrow" w:cs="Arial Narrow"/>
      <w:b/>
      <w:bCs/>
      <w:sz w:val="20"/>
      <w:szCs w:val="20"/>
    </w:rPr>
  </w:style>
  <w:style w:type="character" w:styleId="DefaultParagraphFont">
    <w:name w:val="Default Paragraph Font"/>
    <w:qFormat/>
    <w:rPr/>
  </w:style>
  <w:style w:type="character" w:styleId="AIACheckbox">
    <w:name w:val="AIA Checkbox"/>
    <w:basedOn w:val="DefaultParagraphFont"/>
    <w:qFormat/>
    <w:rPr>
      <w:rFonts w:ascii="Arial" w:hAnsi="Arial" w:cs="Arial"/>
      <w:sz w:val="20"/>
      <w:szCs w:val="20"/>
    </w:rPr>
  </w:style>
  <w:style w:type="character" w:styleId="AIAFillPointCheckbox">
    <w:name w:val="AIA FillPoint Checkbox"/>
    <w:basedOn w:val="DefaultParagraphFont"/>
    <w:qFormat/>
    <w:rPr>
      <w:rFonts w:ascii="Arial Narrow" w:hAnsi="Arial Narrow" w:cs="Arial Narrow"/>
      <w:b/>
      <w:bCs/>
      <w:caps/>
      <w:sz w:val="22"/>
      <w:szCs w:val="22"/>
      <w:shd w:fill="C0C0C0" w:val="clear"/>
    </w:rPr>
  </w:style>
  <w:style w:type="character" w:styleId="InternetLink">
    <w:name w:val="Hyperlink"/>
    <w:rPr>
      <w:color w:val="000080"/>
      <w:u w:val="single"/>
      <w:lang w:val="zxx" w:eastAsia="zxx" w:bidi="zxx"/>
    </w:rPr>
  </w:style>
  <w:style w:type="character" w:styleId="AIAIndexBoldChar2">
    <w:name w:val="AIA Index Bold Char2"/>
    <w:qFormat/>
    <w:rPr>
      <w:rFonts w:cs="Times New Roman"/>
      <w:b/>
      <w:bCs/>
    </w:rPr>
  </w:style>
  <w:style w:type="character" w:styleId="DeltaViewInsertion">
    <w:name w:val="DeltaView Insertion"/>
    <w:qFormat/>
    <w:rPr>
      <w:color w:val="0000FF"/>
      <w:spacing w:val="0"/>
      <w:u w:val="double"/>
    </w:rPr>
  </w:style>
  <w:style w:type="paragraph" w:styleId="Heading">
    <w:name w:val="Heading"/>
    <w:basedOn w:val="Normal"/>
    <w:next w:val="TextBody"/>
    <w:qFormat/>
    <w:pPr>
      <w:keepNext w:val="true"/>
      <w:spacing w:before="240" w:after="120"/>
    </w:pPr>
    <w:rPr>
      <w:rFonts w:ascii="Arial" w:hAnsi="Arial" w:eastAsia="DejaVu Sans" w:cs="DejaVu Sans"/>
      <w:sz w:val="28"/>
      <w:szCs w:val="28"/>
    </w:rPr>
  </w:style>
  <w:style w:type="paragraph" w:styleId="TextBody">
    <w:name w:val="Body Text"/>
    <w:basedOn w:val="Normal"/>
    <w:pPr>
      <w:spacing w:before="0" w:after="144"/>
    </w:pPr>
    <w:rPr/>
  </w:style>
  <w:style w:type="paragraph" w:styleId="List">
    <w:name w:val="List"/>
    <w:basedOn w:val="TextBody"/>
    <w:pPr/>
    <w:rPr/>
  </w:style>
  <w:style w:type="paragraph" w:styleId="Caption">
    <w:name w:val="Caption"/>
    <w:basedOn w:val="Normal"/>
    <w:qFormat/>
    <w:pPr>
      <w:suppressLineNumbers/>
      <w:spacing w:before="120" w:after="120"/>
    </w:pPr>
    <w:rPr>
      <w:i/>
      <w:iCs/>
      <w:sz w:val="24"/>
      <w:szCs w:val="24"/>
    </w:rPr>
  </w:style>
  <w:style w:type="paragraph" w:styleId="Index">
    <w:name w:val="Index"/>
    <w:basedOn w:val="Normal"/>
    <w:qFormat/>
    <w:pPr>
      <w:suppressLineNumbers/>
    </w:pPr>
    <w:rPr/>
  </w:style>
  <w:style w:type="paragraph" w:styleId="HeaderandFooter">
    <w:name w:val="Header and Footer"/>
    <w:basedOn w:val="Normal"/>
    <w:qFormat/>
    <w:pPr>
      <w:suppressLineNumbers/>
      <w:tabs>
        <w:tab w:val="center" w:pos="4819" w:leader="none"/>
        <w:tab w:val="right" w:pos="9638" w:leader="none"/>
      </w:tabs>
    </w:pPr>
    <w:rPr/>
  </w:style>
  <w:style w:type="paragraph" w:styleId="Footer">
    <w:name w:val="Footer"/>
    <w:basedOn w:val="Normal"/>
    <w:pPr>
      <w:suppressLineNumbers/>
      <w:tabs>
        <w:tab w:val="center" w:pos="4986" w:leader="none"/>
        <w:tab w:val="right" w:pos="9972" w:leader="none"/>
      </w:tabs>
      <w:jc w:val="center"/>
    </w:pPr>
    <w:rPr>
      <w:sz w:val="18"/>
    </w:rPr>
  </w:style>
  <w:style w:type="paragraph" w:styleId="ListBullet4">
    <w:name w:val="List Bullet 4"/>
    <w:basedOn w:val="List"/>
    <w:qFormat/>
    <w:pPr>
      <w:spacing w:before="0" w:after="120"/>
      <w:ind w:left="14" w:right="0" w:hanging="360"/>
    </w:pPr>
    <w:rPr/>
  </w:style>
  <w:style w:type="paragraph" w:styleId="Numbering1Cont">
    <w:name w:val="Numbering 1 Cont."/>
    <w:basedOn w:val="List"/>
    <w:qFormat/>
    <w:pPr>
      <w:numPr>
        <w:ilvl w:val="0"/>
        <w:numId w:val="1"/>
      </w:numPr>
      <w:spacing w:before="0" w:after="120"/>
      <w:outlineLvl w:val="0"/>
    </w:pPr>
    <w:rPr/>
  </w:style>
  <w:style w:type="paragraph" w:styleId="ListParagraph">
    <w:name w:val="List Paragraph"/>
    <w:basedOn w:val="Normal"/>
    <w:qFormat/>
    <w:pPr>
      <w:widowControl/>
      <w:spacing w:lineRule="auto" w:line="276" w:before="0" w:after="200"/>
      <w:ind w:left="720" w:right="0" w:hanging="0"/>
    </w:pPr>
    <w:rPr>
      <w:rFonts w:ascii="Calibri" w:hAnsi="Calibri" w:eastAsia="Calibri"/>
      <w:sz w:val="22"/>
      <w:szCs w:val="22"/>
    </w:rPr>
  </w:style>
  <w:style w:type="paragraph" w:styleId="Style23">
    <w:name w:val="Style 23"/>
    <w:basedOn w:val="Normal"/>
    <w:qFormat/>
    <w:pPr>
      <w:widowControl/>
      <w:suppressAutoHyphens w:val="false"/>
    </w:pPr>
    <w:rPr>
      <w:sz w:val="24"/>
    </w:rPr>
  </w:style>
  <w:style w:type="paragraph" w:styleId="Style0">
    <w:name w:val="Style 0"/>
    <w:basedOn w:val="Normal"/>
    <w:qFormat/>
    <w:pPr>
      <w:widowControl/>
      <w:suppressAutoHyphens w:val="false"/>
    </w:pPr>
    <w:rPr>
      <w:sz w:val="24"/>
    </w:rPr>
  </w:style>
  <w:style w:type="paragraph" w:styleId="Header">
    <w:name w:val="Header"/>
    <w:basedOn w:val="Normal"/>
    <w:pPr>
      <w:suppressLineNumbers/>
      <w:tabs>
        <w:tab w:val="center" w:pos="4680" w:leader="none"/>
        <w:tab w:val="right" w:pos="9360" w:leader="none"/>
      </w:tabs>
    </w:pPr>
    <w:rPr/>
  </w:style>
  <w:style w:type="paragraph" w:styleId="NormalWeb">
    <w:name w:val="Normal (Web)"/>
    <w:basedOn w:val="Normal"/>
    <w:qFormat/>
    <w:pPr>
      <w:widowControl/>
      <w:spacing w:before="280" w:after="280"/>
    </w:pPr>
    <w:rPr>
      <w:sz w:val="24"/>
      <w:szCs w:val="24"/>
    </w:rPr>
  </w:style>
  <w:style w:type="paragraph" w:styleId="TableContents">
    <w:name w:val="Table Contents"/>
    <w:basedOn w:val="Normal"/>
    <w:qFormat/>
    <w:pPr>
      <w:suppressLineNumbers/>
    </w:pPr>
    <w:rPr/>
  </w:style>
  <w:style w:type="paragraph" w:styleId="TextBodyIndent">
    <w:name w:val="Body Text Indent"/>
    <w:basedOn w:val="Normal"/>
    <w:pPr>
      <w:spacing w:before="0" w:after="120"/>
      <w:ind w:left="360" w:right="0" w:hanging="0"/>
    </w:pPr>
    <w:rPr/>
  </w:style>
  <w:style w:type="paragraph" w:styleId="HorizontalLine">
    <w:name w:val="Horizontal Line"/>
    <w:basedOn w:val="Normal"/>
    <w:next w:val="TextBody"/>
    <w:qFormat/>
    <w:pPr>
      <w:suppressLineNumbers/>
      <w:pBdr>
        <w:bottom w:val="double" w:sz="2" w:space="0" w:color="808080"/>
      </w:pBdr>
      <w:spacing w:before="0" w:after="283"/>
    </w:pPr>
    <w:rPr>
      <w:sz w:val="12"/>
      <w:szCs w:val="12"/>
    </w:rPr>
  </w:style>
  <w:style w:type="paragraph" w:styleId="Title">
    <w:name w:val="Title"/>
    <w:basedOn w:val="Normal"/>
    <w:next w:val="Subtitle"/>
    <w:qFormat/>
    <w:pPr>
      <w:widowControl/>
      <w:jc w:val="center"/>
    </w:pPr>
    <w:rPr>
      <w:b/>
      <w:bCs/>
      <w:sz w:val="24"/>
      <w:szCs w:val="24"/>
    </w:rPr>
  </w:style>
  <w:style w:type="paragraph" w:styleId="Subtitle">
    <w:name w:val="Subtitle"/>
    <w:basedOn w:val="Heading"/>
    <w:next w:val="TextBody"/>
    <w:qFormat/>
    <w:pPr>
      <w:jc w:val="center"/>
    </w:pPr>
    <w:rPr>
      <w:i/>
      <w:iCs/>
      <w:sz w:val="28"/>
      <w:szCs w:val="28"/>
    </w:rPr>
  </w:style>
  <w:style w:type="paragraph" w:styleId="Addressee">
    <w:name w:val="Envelope Address"/>
    <w:basedOn w:val="Normal"/>
    <w:pPr>
      <w:suppressLineNumbers/>
      <w:spacing w:before="0" w:after="60"/>
    </w:pPr>
    <w:rPr/>
  </w:style>
  <w:style w:type="paragraph" w:styleId="AIAAgreementBodyText">
    <w:name w:val="AIA Agreement Body Text"/>
    <w:qFormat/>
    <w:pPr>
      <w:widowControl/>
      <w:tabs>
        <w:tab w:val="clear" w:pos="709"/>
        <w:tab w:val="left" w:pos="720" w:leader="none"/>
      </w:tabs>
      <w:suppressAutoHyphens w:val="true"/>
      <w:overflowPunct w:val="true"/>
      <w:bidi w:val="0"/>
      <w:spacing w:before="0" w:after="0"/>
      <w:jc w:val="left"/>
    </w:pPr>
    <w:rPr>
      <w:rFonts w:ascii="Times New Roman" w:hAnsi="Times New Roman" w:eastAsia="DejaVu Sans" w:cs="FreeSans"/>
      <w:color w:val="auto"/>
      <w:kern w:val="2"/>
      <w:sz w:val="20"/>
      <w:szCs w:val="20"/>
      <w:lang w:val="en-US" w:eastAsia="zh-CN" w:bidi="hi-IN"/>
    </w:rPr>
  </w:style>
  <w:style w:type="paragraph" w:styleId="AIAItalics">
    <w:name w:val="AIA Italics"/>
    <w:basedOn w:val="AIAAgreementBodyText"/>
    <w:qFormat/>
    <w:pPr/>
    <w:rPr>
      <w:i/>
      <w:iCs/>
    </w:rPr>
  </w:style>
  <w:style w:type="paragraph" w:styleId="AIAFillPointParagraph">
    <w:name w:val="AIA FillPoint Paragraph"/>
    <w:qFormat/>
    <w:pPr>
      <w:widowControl/>
      <w:shd w:val="clear" w:fill="C0C0C0"/>
      <w:suppressAutoHyphens w:val="true"/>
      <w:overflowPunct w:val="true"/>
      <w:bidi w:val="0"/>
      <w:spacing w:before="0" w:after="0"/>
      <w:jc w:val="left"/>
    </w:pPr>
    <w:rPr>
      <w:rFonts w:ascii="Times New Roman" w:hAnsi="Times New Roman" w:eastAsia="DejaVu Sans" w:cs="FreeSans"/>
      <w:color w:val="auto"/>
      <w:kern w:val="2"/>
      <w:sz w:val="20"/>
      <w:szCs w:val="20"/>
      <w:lang w:val="en-US" w:eastAsia="zh-CN" w:bidi="hi-IN"/>
    </w:rPr>
  </w:style>
  <w:style w:type="paragraph" w:styleId="AIATableofArticles">
    <w:name w:val="AIA Table of Articles"/>
    <w:qFormat/>
    <w:pPr>
      <w:widowControl w:val="false"/>
      <w:suppressAutoHyphens w:val="true"/>
      <w:overflowPunct w:val="true"/>
      <w:bidi w:val="0"/>
      <w:spacing w:before="0" w:after="0"/>
      <w:ind w:left="720" w:right="0" w:hanging="720"/>
      <w:jc w:val="left"/>
    </w:pPr>
    <w:rPr>
      <w:rFonts w:ascii="Times New Roman" w:hAnsi="Times New Roman" w:eastAsia="DejaVu Sans" w:cs="FreeSans"/>
      <w:color w:val="auto"/>
      <w:kern w:val="2"/>
      <w:sz w:val="24"/>
      <w:szCs w:val="24"/>
      <w:lang w:val="en-US" w:eastAsia="zh-CN" w:bidi="hi-IN"/>
    </w:rPr>
  </w:style>
  <w:style w:type="paragraph" w:styleId="AIABodyTextHanging">
    <w:name w:val="AIA Body Text Hanging"/>
    <w:basedOn w:val="AIAAgreementBodyText"/>
    <w:qFormat/>
    <w:pPr>
      <w:spacing w:before="0" w:after="0"/>
      <w:ind w:left="1188" w:right="0" w:hanging="468"/>
    </w:pPr>
    <w:rPr/>
  </w:style>
  <w:style w:type="paragraph" w:styleId="AIASubheading">
    <w:name w:val="AIA Subheading"/>
    <w:basedOn w:val="AIAAgreementBodyText"/>
    <w:qFormat/>
    <w:pPr>
      <w:keepNext w:val="true"/>
      <w:keepLines/>
    </w:pPr>
    <w:rPr>
      <w:rFonts w:ascii="Arial Narrow" w:hAnsi="Arial Narrow" w:cs="Arial Narrow"/>
      <w:b/>
      <w:bCs/>
    </w:rPr>
  </w:style>
  <w:style w:type="paragraph" w:styleId="AIAAgreementSubHeader1">
    <w:name w:val="AIA Agreement Sub Header 1"/>
    <w:qFormat/>
    <w:pPr>
      <w:widowControl/>
      <w:suppressAutoHyphens w:val="true"/>
      <w:overflowPunct w:val="true"/>
      <w:bidi w:val="0"/>
      <w:spacing w:before="240" w:after="0"/>
      <w:jc w:val="left"/>
    </w:pPr>
    <w:rPr>
      <w:rFonts w:ascii="Courier New" w:hAnsi="Courier New" w:eastAsia="DejaVu Sans" w:cs="Courier New"/>
      <w:b/>
      <w:bCs/>
      <w:i/>
      <w:iCs/>
      <w:color w:val="auto"/>
      <w:kern w:val="2"/>
      <w:sz w:val="28"/>
      <w:szCs w:val="28"/>
      <w:lang w:val="en-US" w:eastAsia="zh-CN" w:bidi="hi-IN"/>
    </w:rPr>
  </w:style>
  <w:style w:type="paragraph" w:styleId="AIABodyTextIndented">
    <w:name w:val="AIA Body Text Indented"/>
    <w:basedOn w:val="AIAAgreementBodyText"/>
    <w:qFormat/>
    <w:pPr>
      <w:spacing w:before="0" w:after="0"/>
      <w:ind w:left="720" w:right="0" w:hanging="0"/>
    </w:pPr>
    <w:rPr/>
  </w:style>
  <w:style w:type="paragraph" w:styleId="AIAFillPointParagraphRight">
    <w:name w:val="AIA FillPoint Paragraph Right"/>
    <w:qFormat/>
    <w:pPr>
      <w:widowControl w:val="false"/>
      <w:suppressAutoHyphens w:val="true"/>
      <w:overflowPunct w:val="true"/>
      <w:bidi w:val="0"/>
      <w:spacing w:before="0" w:after="0"/>
      <w:jc w:val="right"/>
    </w:pPr>
    <w:rPr>
      <w:rFonts w:ascii="Times New Roman" w:hAnsi="Times New Roman" w:eastAsia="DejaVu Sans" w:cs="FreeSans"/>
      <w:color w:val="auto"/>
      <w:kern w:val="2"/>
      <w:sz w:val="24"/>
      <w:szCs w:val="24"/>
      <w:lang w:val="en-US" w:eastAsia="zh-CN" w:bidi="hi-IN"/>
    </w:rPr>
  </w:style>
  <w:style w:type="paragraph" w:styleId="AIAItalicsHanging">
    <w:name w:val="AIA Italics Hanging"/>
    <w:basedOn w:val="AIAItalics"/>
    <w:qFormat/>
    <w:pPr>
      <w:spacing w:before="0" w:after="0"/>
      <w:ind w:left="1191" w:right="0" w:hanging="0"/>
    </w:pPr>
    <w:rPr/>
  </w:style>
  <w:style w:type="paragraph" w:styleId="AIADigitalSignature">
    <w:name w:val="AIA Digital Signature"/>
    <w:qFormat/>
    <w:pPr>
      <w:widowControl/>
      <w:suppressAutoHyphens w:val="true"/>
      <w:overflowPunct w:val="true"/>
      <w:bidi w:val="0"/>
      <w:spacing w:before="0" w:after="60"/>
      <w:jc w:val="center"/>
    </w:pPr>
    <w:rPr>
      <w:rFonts w:ascii="Arial" w:hAnsi="Arial" w:eastAsia="DejaVu Sans" w:cs="Arial"/>
      <w:b/>
      <w:bCs/>
      <w:color w:val="auto"/>
      <w:kern w:val="2"/>
      <w:sz w:val="20"/>
      <w:szCs w:val="20"/>
      <w:lang w:val="en-US" w:eastAsia="zh-CN" w:bidi="hi-IN"/>
    </w:rPr>
  </w:style>
  <w:style w:type="paragraph" w:styleId="AIASignatureBlock">
    <w:name w:val="AIA Signature Block"/>
    <w:basedOn w:val="AIAAgreementBodyText"/>
    <w:qFormat/>
    <w:pPr/>
    <w:rPr/>
  </w:style>
  <w:style w:type="paragraph" w:styleId="Quotations">
    <w:name w:val="Quotations"/>
    <w:basedOn w:val="Normal"/>
    <w:qFormat/>
    <w:pPr>
      <w:spacing w:before="0" w:after="283"/>
      <w:ind w:left="567" w:right="567" w:hanging="0"/>
    </w:pPr>
    <w:rPr/>
  </w:style>
  <w:style w:type="numbering" w:styleId="Numbering123">
    <w:name w:val="Numbering 123"/>
    <w:qFormat/>
  </w:style>
  <w:style w:type="numbering" w:styleId="NumberingABC">
    <w:name w:val="Numbering ABC"/>
    <w:qFormat/>
  </w:style>
  <w:style w:type="numbering" w:styleId="Numberingabc1">
    <w:name w:val="Numbering abc"/>
    <w:qFormat/>
  </w:style>
  <w:style w:type="numbering" w:styleId="Numberingivx">
    <w:name w:val="Numbering ivx"/>
    <w:qFormat/>
  </w:style>
  <w:style w:type="numbering" w:styleId="Numbering1">
    <w:name w:val="Numbering 1"/>
    <w:qFormat/>
  </w:style>
  <w:style w:type="numbering" w:styleId="NumberingABC2">
    <w:name w:val="Numbering-ABC"/>
    <w:qFormat/>
  </w:style>
  <w:style w:type="numbering" w:styleId="Numbering11">
    <w:name w:val="Numbering - 1.1"/>
    <w:qFormat/>
  </w:style>
  <w:style w:type="numbering" w:styleId="Numbering1Aai">
    <w:name w:val="Numbering-1-A-a-i"/>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john2</Template>
  <TotalTime>47</TotalTime>
  <Application>LibreOffice/7.4.7.2$Linux_X86_64 LibreOffice_project/40$Build-2</Application>
  <AppVersion>15.0000</AppVersion>
  <Pages>7</Pages>
  <Words>1980</Words>
  <Characters>10273</Characters>
  <CharactersWithSpaces>12272</CharactersWithSpaces>
  <Paragraphs>76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2024-10-08T07:00:44Z</dcterms:created>
  <dc:creator>John Little</dc:creator>
  <dc:description/>
  <dc:language>en-GB</dc:language>
  <cp:lastModifiedBy>John Little</cp:lastModifiedBy>
  <dcterms:modified xsi:type="dcterms:W3CDTF">2024-10-22T07:26:30Z</dcterms:modified>
  <cp:revision>6</cp:revision>
  <dc:subject/>
  <dc:title/>
</cp:coreProperties>
</file>

<file path=docProps/custom.xml><?xml version="1.0" encoding="utf-8"?>
<Properties xmlns="http://schemas.openxmlformats.org/officeDocument/2006/custom-properties" xmlns:vt="http://schemas.openxmlformats.org/officeDocument/2006/docPropsVTypes"/>
</file>